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C2" w:rsidRDefault="004B37C2" w:rsidP="004B37C2">
      <w:pPr>
        <w:tabs>
          <w:tab w:val="left" w:pos="567"/>
        </w:tabs>
        <w:jc w:val="both"/>
        <w:rPr>
          <w:rFonts w:ascii="Times New Roman" w:eastAsia="Times New Roman" w:hAnsi="Times New Roman" w:cs="Times New Roman"/>
          <w:color w:val="000000"/>
          <w:sz w:val="18"/>
          <w:szCs w:val="24"/>
          <w:lang w:eastAsia="tr-TR"/>
        </w:rPr>
      </w:pPr>
      <w:r w:rsidRPr="004B37C2">
        <w:rPr>
          <w:rFonts w:ascii="Times New Roman" w:eastAsia="Times New Roman" w:hAnsi="Times New Roman" w:cs="Times New Roman"/>
          <w:color w:val="000000"/>
          <w:sz w:val="18"/>
          <w:szCs w:val="24"/>
          <w:lang w:eastAsia="tr-TR"/>
        </w:rPr>
        <w:tab/>
      </w:r>
    </w:p>
    <w:p w:rsidR="004B37C2" w:rsidRDefault="00DE3F1D" w:rsidP="00DE3F1D">
      <w:pPr>
        <w:tabs>
          <w:tab w:val="left" w:pos="567"/>
        </w:tabs>
        <w:jc w:val="center"/>
        <w:rPr>
          <w:rFonts w:ascii="Times New Roman" w:eastAsia="Times New Roman" w:hAnsi="Times New Roman" w:cs="Times New Roman"/>
          <w:color w:val="000000"/>
          <w:sz w:val="18"/>
          <w:szCs w:val="24"/>
          <w:lang w:eastAsia="tr-TR"/>
        </w:rPr>
      </w:pPr>
      <w:r>
        <w:rPr>
          <w:noProof/>
          <w:lang w:eastAsia="tr-TR"/>
        </w:rPr>
        <w:drawing>
          <wp:inline distT="0" distB="0" distL="0" distR="0">
            <wp:extent cx="3400425" cy="1047750"/>
            <wp:effectExtent l="19050" t="0" r="9525" b="0"/>
            <wp:docPr id="1" name="Resim 1" descr="http://rega.basbakanlik.gov.tr/Eskiler/2004/07/T.C.-resmi-gaz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ga.basbakanlik.gov.tr/Eskiler/2004/07/T.C.-resmi-gazete.gif"/>
                    <pic:cNvPicPr>
                      <a:picLocks noChangeAspect="1" noChangeArrowheads="1"/>
                    </pic:cNvPicPr>
                  </pic:nvPicPr>
                  <pic:blipFill>
                    <a:blip r:embed="rId4" r:link="rId5" cstate="print"/>
                    <a:srcRect/>
                    <a:stretch>
                      <a:fillRect/>
                    </a:stretch>
                  </pic:blipFill>
                  <pic:spPr bwMode="auto">
                    <a:xfrm>
                      <a:off x="0" y="0"/>
                      <a:ext cx="3400425" cy="1047750"/>
                    </a:xfrm>
                    <a:prstGeom prst="rect">
                      <a:avLst/>
                    </a:prstGeom>
                    <a:noFill/>
                    <a:ln w="9525">
                      <a:noFill/>
                      <a:miter lim="800000"/>
                      <a:headEnd/>
                      <a:tailEnd/>
                    </a:ln>
                  </pic:spPr>
                </pic:pic>
              </a:graphicData>
            </a:graphic>
          </wp:inline>
        </w:drawing>
      </w:r>
    </w:p>
    <w:tbl>
      <w:tblPr>
        <w:tblW w:w="5000" w:type="pct"/>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00"/>
      </w:tblPr>
      <w:tblGrid>
        <w:gridCol w:w="9192"/>
      </w:tblGrid>
      <w:tr w:rsidR="00DE3F1D" w:rsidRPr="00562163" w:rsidTr="009516AC">
        <w:trPr>
          <w:trHeight w:val="825"/>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rsidR="00DE3F1D" w:rsidRPr="00562163" w:rsidRDefault="00DE3F1D" w:rsidP="009516AC">
            <w:pPr>
              <w:pStyle w:val="satnalma"/>
              <w:spacing w:before="0" w:beforeAutospacing="0" w:after="0" w:afterAutospacing="0"/>
              <w:jc w:val="center"/>
              <w:rPr>
                <w:sz w:val="28"/>
                <w:szCs w:val="28"/>
              </w:rPr>
            </w:pPr>
            <w:r w:rsidRPr="00562163">
              <w:rPr>
                <w:b/>
                <w:bCs/>
                <w:sz w:val="28"/>
                <w:szCs w:val="28"/>
              </w:rPr>
              <w:t>Başbakanlık</w:t>
            </w:r>
          </w:p>
          <w:p w:rsidR="00DE3F1D" w:rsidRPr="00562163" w:rsidRDefault="00DE3F1D" w:rsidP="009516AC">
            <w:pPr>
              <w:pStyle w:val="satnalma"/>
              <w:spacing w:before="0" w:beforeAutospacing="0" w:after="0" w:afterAutospacing="0"/>
              <w:jc w:val="center"/>
              <w:rPr>
                <w:sz w:val="28"/>
                <w:szCs w:val="28"/>
              </w:rPr>
            </w:pPr>
            <w:r w:rsidRPr="00562163">
              <w:rPr>
                <w:b/>
                <w:bCs/>
                <w:sz w:val="28"/>
                <w:szCs w:val="28"/>
              </w:rPr>
              <w:t>Mevzuatı Geliştirme ve Yayın Genel Müdürlüğünce Yayımlanır</w:t>
            </w:r>
          </w:p>
        </w:tc>
      </w:tr>
      <w:tr w:rsidR="00DE3F1D" w:rsidRPr="00562163" w:rsidTr="009516AC">
        <w:trPr>
          <w:trHeight w:val="540"/>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tbl>
            <w:tblPr>
              <w:tblW w:w="5000" w:type="pct"/>
              <w:tblCellSpacing w:w="22" w:type="dxa"/>
              <w:tblBorders>
                <w:top w:val="outset" w:sz="12" w:space="0" w:color="008000"/>
                <w:left w:val="outset" w:sz="12" w:space="0" w:color="008000"/>
                <w:bottom w:val="outset" w:sz="12" w:space="0" w:color="008000"/>
                <w:right w:val="outset" w:sz="12" w:space="0" w:color="008000"/>
              </w:tblBorders>
              <w:tblCellMar>
                <w:top w:w="15" w:type="dxa"/>
                <w:left w:w="15" w:type="dxa"/>
                <w:bottom w:w="15" w:type="dxa"/>
                <w:right w:w="15" w:type="dxa"/>
              </w:tblCellMar>
              <w:tblLook w:val="0000"/>
            </w:tblPr>
            <w:tblGrid>
              <w:gridCol w:w="2997"/>
              <w:gridCol w:w="2974"/>
              <w:gridCol w:w="3085"/>
            </w:tblGrid>
            <w:tr w:rsidR="00DE3F1D" w:rsidRPr="00562163" w:rsidTr="009516AC">
              <w:trPr>
                <w:tblCellSpacing w:w="22" w:type="dxa"/>
              </w:trPr>
              <w:tc>
                <w:tcPr>
                  <w:tcW w:w="1650" w:type="pct"/>
                  <w:tcBorders>
                    <w:top w:val="outset" w:sz="6" w:space="0" w:color="008000"/>
                    <w:left w:val="outset" w:sz="6" w:space="0" w:color="008000"/>
                    <w:bottom w:val="outset" w:sz="6" w:space="0" w:color="008000"/>
                    <w:right w:val="outset" w:sz="6" w:space="0" w:color="008000"/>
                  </w:tcBorders>
                  <w:vAlign w:val="center"/>
                </w:tcPr>
                <w:p w:rsidR="00DE3F1D" w:rsidRPr="00562163" w:rsidRDefault="00DE3F1D" w:rsidP="009516AC">
                  <w:pPr>
                    <w:pStyle w:val="NormalWeb"/>
                    <w:jc w:val="center"/>
                    <w:rPr>
                      <w:sz w:val="28"/>
                      <w:szCs w:val="28"/>
                    </w:rPr>
                  </w:pPr>
                  <w:r w:rsidRPr="00562163">
                    <w:rPr>
                      <w:sz w:val="28"/>
                      <w:szCs w:val="28"/>
                    </w:rPr>
                    <w:t> </w:t>
                  </w:r>
                  <w:proofErr w:type="gramStart"/>
                  <w:r w:rsidRPr="00562163">
                    <w:rPr>
                      <w:sz w:val="28"/>
                      <w:szCs w:val="28"/>
                    </w:rPr>
                    <w:t>Kuruluş : 7</w:t>
                  </w:r>
                  <w:proofErr w:type="gramEnd"/>
                  <w:r w:rsidRPr="00562163">
                    <w:rPr>
                      <w:sz w:val="28"/>
                      <w:szCs w:val="28"/>
                    </w:rPr>
                    <w:t xml:space="preserve"> Ekim 1920</w:t>
                  </w:r>
                </w:p>
              </w:tc>
              <w:tc>
                <w:tcPr>
                  <w:tcW w:w="1650" w:type="pct"/>
                  <w:tcBorders>
                    <w:top w:val="outset" w:sz="6" w:space="0" w:color="008000"/>
                    <w:left w:val="outset" w:sz="6" w:space="0" w:color="008000"/>
                    <w:bottom w:val="outset" w:sz="6" w:space="0" w:color="008000"/>
                    <w:right w:val="outset" w:sz="6" w:space="0" w:color="008000"/>
                  </w:tcBorders>
                  <w:vAlign w:val="center"/>
                </w:tcPr>
                <w:p w:rsidR="00DE3F1D" w:rsidRPr="00562163" w:rsidRDefault="00DE3F1D" w:rsidP="009516AC">
                  <w:pPr>
                    <w:pStyle w:val="satnalma"/>
                    <w:spacing w:before="0" w:beforeAutospacing="0" w:after="0" w:afterAutospacing="0"/>
                    <w:jc w:val="center"/>
                    <w:rPr>
                      <w:sz w:val="28"/>
                      <w:szCs w:val="28"/>
                    </w:rPr>
                  </w:pPr>
                  <w:r>
                    <w:rPr>
                      <w:b/>
                      <w:bCs/>
                      <w:sz w:val="28"/>
                      <w:szCs w:val="28"/>
                    </w:rPr>
                    <w:t>21 Haziran</w:t>
                  </w:r>
                  <w:r w:rsidRPr="00562163">
                    <w:rPr>
                      <w:b/>
                      <w:bCs/>
                      <w:sz w:val="28"/>
                      <w:szCs w:val="28"/>
                    </w:rPr>
                    <w:t xml:space="preserve"> 200</w:t>
                  </w:r>
                  <w:r>
                    <w:rPr>
                      <w:b/>
                      <w:bCs/>
                      <w:sz w:val="28"/>
                      <w:szCs w:val="28"/>
                    </w:rPr>
                    <w:t>6</w:t>
                  </w:r>
                </w:p>
                <w:p w:rsidR="00DE3F1D" w:rsidRPr="00562163" w:rsidRDefault="00DE3F1D" w:rsidP="009516AC">
                  <w:pPr>
                    <w:pStyle w:val="satnalma"/>
                    <w:spacing w:before="0" w:beforeAutospacing="0" w:after="0" w:afterAutospacing="0"/>
                    <w:jc w:val="center"/>
                    <w:rPr>
                      <w:sz w:val="28"/>
                      <w:szCs w:val="28"/>
                    </w:rPr>
                  </w:pPr>
                  <w:r>
                    <w:rPr>
                      <w:b/>
                      <w:bCs/>
                      <w:sz w:val="28"/>
                      <w:szCs w:val="28"/>
                    </w:rPr>
                    <w:t>ÇARŞAMBA</w:t>
                  </w:r>
                </w:p>
              </w:tc>
              <w:tc>
                <w:tcPr>
                  <w:tcW w:w="1700" w:type="pct"/>
                  <w:tcBorders>
                    <w:top w:val="outset" w:sz="6" w:space="0" w:color="008000"/>
                    <w:left w:val="outset" w:sz="6" w:space="0" w:color="008000"/>
                    <w:bottom w:val="outset" w:sz="6" w:space="0" w:color="008000"/>
                    <w:right w:val="outset" w:sz="6" w:space="0" w:color="008000"/>
                  </w:tcBorders>
                  <w:vAlign w:val="center"/>
                </w:tcPr>
                <w:p w:rsidR="00DE3F1D" w:rsidRPr="00562163" w:rsidRDefault="00DE3F1D" w:rsidP="009516AC">
                  <w:pPr>
                    <w:pStyle w:val="NormalWeb"/>
                    <w:jc w:val="center"/>
                    <w:rPr>
                      <w:sz w:val="28"/>
                      <w:szCs w:val="28"/>
                    </w:rPr>
                  </w:pPr>
                  <w:proofErr w:type="gramStart"/>
                  <w:r>
                    <w:rPr>
                      <w:sz w:val="28"/>
                      <w:szCs w:val="28"/>
                    </w:rPr>
                    <w:t>Sayı : 26206</w:t>
                  </w:r>
                  <w:proofErr w:type="gramEnd"/>
                </w:p>
              </w:tc>
            </w:tr>
          </w:tbl>
          <w:p w:rsidR="00DE3F1D" w:rsidRPr="00562163" w:rsidRDefault="00DE3F1D" w:rsidP="009516AC">
            <w:pPr>
              <w:rPr>
                <w:sz w:val="28"/>
                <w:szCs w:val="28"/>
              </w:rPr>
            </w:pPr>
          </w:p>
        </w:tc>
      </w:tr>
    </w:tbl>
    <w:p w:rsidR="00DE3F1D" w:rsidRPr="00F438C0" w:rsidRDefault="00DE3F1D" w:rsidP="00F438C0">
      <w:pPr>
        <w:jc w:val="center"/>
        <w:rPr>
          <w:rFonts w:ascii="Verdana" w:hAnsi="Verdana"/>
          <w:b/>
          <w:bCs/>
          <w:szCs w:val="24"/>
        </w:rPr>
      </w:pPr>
      <w:bookmarkStart w:id="0" w:name="1"/>
      <w:bookmarkEnd w:id="0"/>
      <w:r w:rsidRPr="00F438C0">
        <w:rPr>
          <w:rFonts w:ascii="Verdana" w:hAnsi="Verdana"/>
          <w:b/>
          <w:bCs/>
          <w:szCs w:val="24"/>
        </w:rPr>
        <w:t>KURUMLAR VERGİSİ KANUNU</w:t>
      </w:r>
    </w:p>
    <w:p w:rsidR="00DE3F1D" w:rsidRPr="00F438C0" w:rsidRDefault="00DE3F1D" w:rsidP="00DE3F1D">
      <w:pPr>
        <w:tabs>
          <w:tab w:val="left" w:pos="567"/>
        </w:tabs>
        <w:jc w:val="both"/>
        <w:rPr>
          <w:rFonts w:ascii="Verdana" w:hAnsi="Verdana"/>
          <w:b/>
          <w:sz w:val="20"/>
          <w:u w:val="single"/>
        </w:rPr>
      </w:pPr>
      <w:r w:rsidRPr="00F438C0">
        <w:rPr>
          <w:bCs/>
          <w:sz w:val="16"/>
        </w:rPr>
        <w:tab/>
      </w:r>
      <w:r w:rsidRPr="00F438C0">
        <w:rPr>
          <w:rFonts w:ascii="Verdana" w:hAnsi="Verdana"/>
          <w:b/>
          <w:sz w:val="20"/>
          <w:u w:val="single"/>
        </w:rPr>
        <w:t>Kanun No. 5520</w:t>
      </w:r>
      <w:r w:rsidRPr="00F438C0">
        <w:rPr>
          <w:rFonts w:ascii="Verdana" w:hAnsi="Verdana"/>
          <w:b/>
          <w:sz w:val="20"/>
        </w:rPr>
        <w:tab/>
      </w:r>
      <w:r w:rsidR="00B150AE" w:rsidRPr="00F438C0">
        <w:rPr>
          <w:rFonts w:ascii="Verdana" w:hAnsi="Verdana"/>
          <w:b/>
          <w:sz w:val="20"/>
        </w:rPr>
        <w:t xml:space="preserve">                                       </w:t>
      </w:r>
      <w:r w:rsidRPr="00F438C0">
        <w:rPr>
          <w:rFonts w:ascii="Verdana" w:hAnsi="Verdana"/>
          <w:b/>
          <w:sz w:val="20"/>
          <w:u w:val="single"/>
        </w:rPr>
        <w:t xml:space="preserve">Kabul </w:t>
      </w:r>
      <w:proofErr w:type="gramStart"/>
      <w:r w:rsidRPr="00F438C0">
        <w:rPr>
          <w:rFonts w:ascii="Verdana" w:hAnsi="Verdana"/>
          <w:b/>
          <w:sz w:val="20"/>
          <w:u w:val="single"/>
        </w:rPr>
        <w:t>Tarihi : 13</w:t>
      </w:r>
      <w:proofErr w:type="gramEnd"/>
      <w:r w:rsidRPr="00F438C0">
        <w:rPr>
          <w:rFonts w:ascii="Verdana" w:hAnsi="Verdana"/>
          <w:b/>
          <w:sz w:val="20"/>
          <w:u w:val="single"/>
        </w:rPr>
        <w:t>/6/2006</w:t>
      </w:r>
    </w:p>
    <w:p w:rsidR="00B150AE" w:rsidRPr="00F438C0" w:rsidRDefault="00F438C0" w:rsidP="00DE3F1D">
      <w:pPr>
        <w:tabs>
          <w:tab w:val="left" w:pos="567"/>
        </w:tabs>
        <w:jc w:val="both"/>
        <w:rPr>
          <w:rFonts w:ascii="Times New Roman" w:eastAsia="Times New Roman" w:hAnsi="Times New Roman" w:cs="Times New Roman"/>
          <w:b/>
          <w:color w:val="000000"/>
          <w:sz w:val="16"/>
          <w:szCs w:val="24"/>
          <w:lang w:eastAsia="tr-TR"/>
        </w:rPr>
      </w:pPr>
      <w:proofErr w:type="gramStart"/>
      <w:r>
        <w:rPr>
          <w:rFonts w:ascii="Times New Roman" w:eastAsia="Times New Roman" w:hAnsi="Times New Roman" w:cs="Times New Roman"/>
          <w:b/>
          <w:color w:val="000000"/>
          <w:sz w:val="16"/>
          <w:szCs w:val="24"/>
          <w:lang w:eastAsia="tr-TR"/>
        </w:rPr>
        <w:t>…………………………..</w:t>
      </w:r>
      <w:proofErr w:type="gramEnd"/>
    </w:p>
    <w:p w:rsidR="004B37C2" w:rsidRPr="00F438C0" w:rsidRDefault="00F438C0" w:rsidP="004B37C2">
      <w:pPr>
        <w:tabs>
          <w:tab w:val="left" w:pos="567"/>
        </w:tabs>
        <w:jc w:val="both"/>
        <w:rPr>
          <w:rFonts w:ascii="Times New Roman" w:eastAsia="Times New Roman" w:hAnsi="Times New Roman" w:cs="Times New Roman"/>
          <w:color w:val="000000"/>
          <w:sz w:val="16"/>
          <w:szCs w:val="24"/>
          <w:lang w:eastAsia="tr-TR"/>
        </w:rPr>
      </w:pPr>
      <w:proofErr w:type="gramStart"/>
      <w:r>
        <w:rPr>
          <w:rFonts w:ascii="Times New Roman" w:eastAsia="Times New Roman" w:hAnsi="Times New Roman" w:cs="Times New Roman"/>
          <w:color w:val="000000"/>
          <w:sz w:val="16"/>
          <w:szCs w:val="24"/>
          <w:lang w:eastAsia="tr-TR"/>
        </w:rPr>
        <w:t>………………………….</w:t>
      </w:r>
      <w:proofErr w:type="gramEnd"/>
    </w:p>
    <w:p w:rsidR="004B37C2" w:rsidRPr="00F438C0" w:rsidRDefault="004B37C2" w:rsidP="004B37C2">
      <w:pPr>
        <w:tabs>
          <w:tab w:val="left" w:pos="567"/>
        </w:tabs>
        <w:jc w:val="both"/>
        <w:rPr>
          <w:rFonts w:ascii="Times New Roman" w:eastAsia="Times New Roman" w:hAnsi="Times New Roman" w:cs="Times New Roman"/>
          <w:b/>
          <w:sz w:val="44"/>
          <w:szCs w:val="24"/>
          <w:lang w:eastAsia="tr-TR"/>
        </w:rPr>
      </w:pPr>
      <w:r w:rsidRPr="00F438C0">
        <w:rPr>
          <w:rFonts w:ascii="Verdana" w:eastAsia="Times New Roman" w:hAnsi="Verdana" w:cs="Times New Roman"/>
          <w:sz w:val="24"/>
          <w:szCs w:val="15"/>
          <w:lang w:eastAsia="tr-TR"/>
        </w:rPr>
        <w:t>"</w:t>
      </w:r>
      <w:r w:rsidRPr="00F438C0">
        <w:rPr>
          <w:rFonts w:ascii="Verdana" w:eastAsia="Times New Roman" w:hAnsi="Verdana" w:cs="Times New Roman"/>
          <w:b/>
          <w:sz w:val="24"/>
          <w:szCs w:val="15"/>
          <w:lang w:eastAsia="tr-TR"/>
        </w:rPr>
        <w:t>GEÇİCİ MADDE 2</w:t>
      </w:r>
      <w:r w:rsidRPr="00F438C0">
        <w:rPr>
          <w:rFonts w:ascii="Verdana" w:eastAsia="Times New Roman" w:hAnsi="Verdana" w:cs="Times New Roman"/>
          <w:sz w:val="24"/>
          <w:szCs w:val="15"/>
          <w:lang w:eastAsia="tr-TR"/>
        </w:rPr>
        <w:t xml:space="preserve"> –</w:t>
      </w:r>
      <w:r w:rsidR="00DE3F1D" w:rsidRPr="00F438C0">
        <w:rPr>
          <w:rFonts w:ascii="Verdana" w:eastAsia="Times New Roman" w:hAnsi="Verdana" w:cs="Times New Roman"/>
          <w:sz w:val="24"/>
          <w:szCs w:val="15"/>
          <w:lang w:eastAsia="tr-TR"/>
        </w:rPr>
        <w:t xml:space="preserve"> (</w:t>
      </w:r>
      <w:proofErr w:type="gramStart"/>
      <w:r w:rsidR="00DE3F1D" w:rsidRPr="00F438C0">
        <w:rPr>
          <w:rFonts w:ascii="Verdana" w:eastAsia="Times New Roman" w:hAnsi="Verdana" w:cs="Times New Roman"/>
          <w:sz w:val="24"/>
          <w:szCs w:val="15"/>
          <w:lang w:eastAsia="tr-TR"/>
        </w:rPr>
        <w:t>4/6/2008</w:t>
      </w:r>
      <w:proofErr w:type="gramEnd"/>
      <w:r w:rsidR="00B150AE" w:rsidRPr="00F438C0">
        <w:rPr>
          <w:rFonts w:ascii="Verdana" w:eastAsia="Times New Roman" w:hAnsi="Verdana" w:cs="Times New Roman"/>
          <w:sz w:val="24"/>
          <w:szCs w:val="15"/>
          <w:lang w:eastAsia="tr-TR"/>
        </w:rPr>
        <w:t xml:space="preserve"> </w:t>
      </w:r>
      <w:r w:rsidR="00DE3F1D" w:rsidRPr="00F438C0">
        <w:rPr>
          <w:rFonts w:ascii="Verdana" w:eastAsia="Times New Roman" w:hAnsi="Verdana" w:cs="Times New Roman"/>
          <w:sz w:val="24"/>
          <w:szCs w:val="15"/>
          <w:lang w:eastAsia="tr-TR"/>
        </w:rPr>
        <w:t>-</w:t>
      </w:r>
      <w:r w:rsidR="00B150AE" w:rsidRPr="00F438C0">
        <w:rPr>
          <w:rFonts w:ascii="Verdana" w:eastAsia="Times New Roman" w:hAnsi="Verdana" w:cs="Times New Roman"/>
          <w:sz w:val="24"/>
          <w:szCs w:val="15"/>
          <w:lang w:eastAsia="tr-TR"/>
        </w:rPr>
        <w:t xml:space="preserve"> </w:t>
      </w:r>
      <w:r w:rsidR="00DE3F1D" w:rsidRPr="00F438C0">
        <w:rPr>
          <w:rFonts w:ascii="Verdana" w:eastAsia="Times New Roman" w:hAnsi="Verdana" w:cs="Times New Roman"/>
          <w:sz w:val="24"/>
          <w:szCs w:val="15"/>
          <w:lang w:eastAsia="tr-TR"/>
        </w:rPr>
        <w:t>5766 sayılı kanunla eklenmiştir.)</w:t>
      </w:r>
      <w:r w:rsidRPr="00F438C0">
        <w:rPr>
          <w:rFonts w:ascii="Verdana" w:eastAsia="Times New Roman" w:hAnsi="Verdana" w:cs="Times New Roman"/>
          <w:sz w:val="24"/>
          <w:szCs w:val="15"/>
          <w:lang w:eastAsia="tr-TR"/>
        </w:rPr>
        <w:t xml:space="preserve"> </w:t>
      </w:r>
      <w:r w:rsidR="00DE3F1D" w:rsidRPr="00F438C0">
        <w:rPr>
          <w:rFonts w:ascii="Verdana" w:eastAsia="Times New Roman" w:hAnsi="Verdana" w:cs="Times New Roman"/>
          <w:sz w:val="24"/>
          <w:szCs w:val="15"/>
          <w:lang w:eastAsia="tr-TR"/>
        </w:rPr>
        <w:t xml:space="preserve"> </w:t>
      </w:r>
      <w:r w:rsidRPr="00F438C0">
        <w:rPr>
          <w:rFonts w:ascii="Verdana" w:eastAsia="Times New Roman" w:hAnsi="Verdana" w:cs="Times New Roman"/>
          <w:sz w:val="24"/>
          <w:szCs w:val="15"/>
          <w:lang w:eastAsia="tr-TR"/>
        </w:rPr>
        <w:t xml:space="preserve"> </w:t>
      </w:r>
      <w:r w:rsidRPr="00F438C0">
        <w:rPr>
          <w:rFonts w:ascii="Verdana" w:eastAsia="Times New Roman" w:hAnsi="Verdana" w:cs="Times New Roman"/>
          <w:b/>
          <w:sz w:val="24"/>
          <w:lang w:eastAsia="tr-TR"/>
        </w:rPr>
        <w:t>1/1/2008</w:t>
      </w:r>
      <w:r w:rsidRPr="00F438C0">
        <w:rPr>
          <w:rFonts w:ascii="Verdana" w:eastAsia="Times New Roman" w:hAnsi="Verdana" w:cs="Times New Roman"/>
          <w:b/>
          <w:sz w:val="24"/>
          <w:szCs w:val="15"/>
          <w:lang w:eastAsia="tr-TR"/>
        </w:rPr>
        <w:t>-31/12/2015 tarihleri arasında;</w:t>
      </w:r>
    </w:p>
    <w:p w:rsidR="004B37C2" w:rsidRPr="00F438C0" w:rsidRDefault="004B37C2" w:rsidP="004B37C2">
      <w:pPr>
        <w:tabs>
          <w:tab w:val="left" w:pos="567"/>
        </w:tabs>
        <w:jc w:val="both"/>
        <w:rPr>
          <w:rFonts w:ascii="Times New Roman" w:eastAsia="Times New Roman" w:hAnsi="Times New Roman" w:cs="Times New Roman"/>
          <w:b/>
          <w:color w:val="FF0000"/>
          <w:sz w:val="44"/>
          <w:szCs w:val="24"/>
          <w:lang w:eastAsia="tr-TR"/>
        </w:rPr>
      </w:pPr>
      <w:r w:rsidRPr="00F438C0">
        <w:rPr>
          <w:rFonts w:ascii="Times New Roman" w:eastAsia="Times New Roman" w:hAnsi="Times New Roman" w:cs="Times New Roman"/>
          <w:sz w:val="32"/>
          <w:szCs w:val="24"/>
          <w:lang w:eastAsia="tr-TR"/>
        </w:rPr>
        <w:tab/>
      </w:r>
      <w:r w:rsidRPr="00F438C0">
        <w:rPr>
          <w:rFonts w:ascii="Verdana" w:eastAsia="Times New Roman" w:hAnsi="Verdana" w:cs="Times New Roman"/>
          <w:b/>
          <w:sz w:val="24"/>
          <w:szCs w:val="15"/>
          <w:lang w:eastAsia="tr-TR"/>
        </w:rPr>
        <w:t>a)</w:t>
      </w:r>
      <w:r w:rsidRPr="00F438C0">
        <w:rPr>
          <w:rFonts w:ascii="Verdana" w:eastAsia="Times New Roman" w:hAnsi="Verdana" w:cs="Times New Roman"/>
          <w:sz w:val="24"/>
          <w:szCs w:val="15"/>
          <w:lang w:eastAsia="tr-TR"/>
        </w:rPr>
        <w:t xml:space="preserve"> </w:t>
      </w:r>
      <w:r w:rsidRPr="00F438C0">
        <w:rPr>
          <w:rFonts w:ascii="Verdana" w:eastAsia="Times New Roman" w:hAnsi="Verdana" w:cs="Times New Roman"/>
          <w:b/>
          <w:color w:val="FF0000"/>
          <w:sz w:val="24"/>
          <w:szCs w:val="15"/>
          <w:lang w:eastAsia="tr-TR"/>
        </w:rPr>
        <w:t xml:space="preserve">Dernek veya vakıflarca elde edilen Gelir Vergisi Kanununun 94 üncü maddesinin (5) numaralı bendi ve geçici 67 </w:t>
      </w:r>
      <w:proofErr w:type="spellStart"/>
      <w:r w:rsidRPr="00F438C0">
        <w:rPr>
          <w:rFonts w:ascii="Verdana" w:eastAsia="Times New Roman" w:hAnsi="Verdana" w:cs="Times New Roman"/>
          <w:b/>
          <w:color w:val="FF0000"/>
          <w:sz w:val="24"/>
          <w:lang w:eastAsia="tr-TR"/>
        </w:rPr>
        <w:t>nci</w:t>
      </w:r>
      <w:proofErr w:type="spellEnd"/>
      <w:r w:rsidRPr="00F438C0">
        <w:rPr>
          <w:rFonts w:ascii="Verdana" w:eastAsia="Times New Roman" w:hAnsi="Verdana" w:cs="Times New Roman"/>
          <w:b/>
          <w:color w:val="FF0000"/>
          <w:sz w:val="24"/>
          <w:szCs w:val="15"/>
          <w:lang w:eastAsia="tr-TR"/>
        </w:rPr>
        <w:t xml:space="preserve"> maddesi kapsamında kesinti suretiyle vergilendirilmiş kazanç ve iratlar, </w:t>
      </w:r>
    </w:p>
    <w:p w:rsidR="004B37C2" w:rsidRPr="00F438C0" w:rsidRDefault="004B37C2" w:rsidP="004B37C2">
      <w:pPr>
        <w:tabs>
          <w:tab w:val="left" w:pos="567"/>
        </w:tabs>
        <w:jc w:val="both"/>
        <w:rPr>
          <w:rFonts w:ascii="Times New Roman" w:eastAsia="Times New Roman" w:hAnsi="Times New Roman" w:cs="Times New Roman"/>
          <w:sz w:val="44"/>
          <w:szCs w:val="24"/>
          <w:lang w:eastAsia="tr-TR"/>
        </w:rPr>
      </w:pPr>
      <w:r w:rsidRPr="00F438C0">
        <w:rPr>
          <w:rFonts w:ascii="Times New Roman" w:eastAsia="Times New Roman" w:hAnsi="Times New Roman" w:cs="Times New Roman"/>
          <w:sz w:val="32"/>
          <w:szCs w:val="24"/>
          <w:lang w:eastAsia="tr-TR"/>
        </w:rPr>
        <w:tab/>
      </w:r>
      <w:r w:rsidRPr="00F438C0">
        <w:rPr>
          <w:rFonts w:ascii="Verdana" w:eastAsia="Times New Roman" w:hAnsi="Verdana" w:cs="Times New Roman"/>
          <w:b/>
          <w:sz w:val="24"/>
          <w:szCs w:val="15"/>
          <w:lang w:eastAsia="tr-TR"/>
        </w:rPr>
        <w:t>b)</w:t>
      </w:r>
      <w:r w:rsidRPr="00F438C0">
        <w:rPr>
          <w:rFonts w:ascii="Verdana" w:eastAsia="Times New Roman" w:hAnsi="Verdana" w:cs="Times New Roman"/>
          <w:sz w:val="24"/>
          <w:szCs w:val="15"/>
          <w:lang w:eastAsia="tr-TR"/>
        </w:rPr>
        <w:t xml:space="preserve"> Milli Eğitim Bakanlığına bağlı örgün ve yaygın eğitim yapan mesleki ve teknik eğitim okullarındaki atölye ve uygulama birimleri ile anaokulu, kreş, çıraklık ve halk eğitim merkezlerindeki uygulama birimlerine bağlı döner sermaye işletmelerinin elde ettikleri gelirler,</w:t>
      </w:r>
    </w:p>
    <w:p w:rsidR="004B37C2" w:rsidRPr="00F438C0" w:rsidRDefault="004B37C2" w:rsidP="004B37C2">
      <w:pPr>
        <w:tabs>
          <w:tab w:val="left" w:pos="567"/>
        </w:tabs>
        <w:jc w:val="both"/>
        <w:rPr>
          <w:rFonts w:ascii="Times New Roman" w:eastAsia="Times New Roman" w:hAnsi="Times New Roman" w:cs="Times New Roman"/>
          <w:sz w:val="44"/>
          <w:szCs w:val="24"/>
          <w:lang w:eastAsia="tr-TR"/>
        </w:rPr>
      </w:pPr>
      <w:r w:rsidRPr="00F438C0">
        <w:rPr>
          <w:rFonts w:ascii="Times New Roman" w:eastAsia="Times New Roman" w:hAnsi="Times New Roman" w:cs="Times New Roman"/>
          <w:sz w:val="32"/>
          <w:szCs w:val="24"/>
          <w:lang w:eastAsia="tr-TR"/>
        </w:rPr>
        <w:tab/>
      </w:r>
      <w:r w:rsidRPr="00F438C0">
        <w:rPr>
          <w:rFonts w:ascii="Verdana" w:eastAsia="Times New Roman" w:hAnsi="Verdana" w:cs="Times New Roman"/>
          <w:b/>
          <w:sz w:val="24"/>
          <w:szCs w:val="15"/>
          <w:lang w:eastAsia="tr-TR"/>
        </w:rPr>
        <w:t>c)</w:t>
      </w:r>
      <w:r w:rsidRPr="00F438C0">
        <w:rPr>
          <w:rFonts w:ascii="Verdana" w:eastAsia="Times New Roman" w:hAnsi="Verdana" w:cs="Times New Roman"/>
          <w:sz w:val="24"/>
          <w:szCs w:val="15"/>
          <w:lang w:eastAsia="tr-TR"/>
        </w:rPr>
        <w:t xml:space="preserve"> </w:t>
      </w:r>
      <w:proofErr w:type="gramStart"/>
      <w:r w:rsidRPr="00F438C0">
        <w:rPr>
          <w:rFonts w:ascii="Verdana" w:eastAsia="Times New Roman" w:hAnsi="Verdana" w:cs="Times New Roman"/>
          <w:sz w:val="24"/>
          <w:lang w:eastAsia="tr-TR"/>
        </w:rPr>
        <w:t>2/11/2007</w:t>
      </w:r>
      <w:proofErr w:type="gramEnd"/>
      <w:r w:rsidRPr="00F438C0">
        <w:rPr>
          <w:rFonts w:ascii="Verdana" w:eastAsia="Times New Roman" w:hAnsi="Verdana" w:cs="Times New Roman"/>
          <w:sz w:val="24"/>
          <w:szCs w:val="15"/>
          <w:lang w:eastAsia="tr-TR"/>
        </w:rPr>
        <w:t xml:space="preserve"> tarihli ve 5706 sayılı İstanbul 2010 Avrupa Kültür Başkenti Hakkında Kanun uyarınca kurulan Ajansın görevleriyle ilgili yaptığı faaliyetlerinden aynı Kanunun 12 </w:t>
      </w:r>
      <w:proofErr w:type="spellStart"/>
      <w:r w:rsidRPr="00F438C0">
        <w:rPr>
          <w:rFonts w:ascii="Verdana" w:eastAsia="Times New Roman" w:hAnsi="Verdana" w:cs="Times New Roman"/>
          <w:sz w:val="24"/>
          <w:lang w:eastAsia="tr-TR"/>
        </w:rPr>
        <w:t>nci</w:t>
      </w:r>
      <w:proofErr w:type="spellEnd"/>
      <w:r w:rsidRPr="00F438C0">
        <w:rPr>
          <w:rFonts w:ascii="Verdana" w:eastAsia="Times New Roman" w:hAnsi="Verdana" w:cs="Times New Roman"/>
          <w:sz w:val="24"/>
          <w:szCs w:val="15"/>
          <w:lang w:eastAsia="tr-TR"/>
        </w:rPr>
        <w:t xml:space="preserve"> maddesi kapsamında elde ettiği gelirleri,</w:t>
      </w:r>
    </w:p>
    <w:p w:rsidR="004B37C2" w:rsidRPr="00F438C0" w:rsidRDefault="004B37C2" w:rsidP="004B37C2">
      <w:pPr>
        <w:tabs>
          <w:tab w:val="left" w:pos="567"/>
        </w:tabs>
        <w:jc w:val="both"/>
        <w:rPr>
          <w:rFonts w:ascii="Times New Roman" w:eastAsia="Times New Roman" w:hAnsi="Times New Roman" w:cs="Times New Roman"/>
          <w:sz w:val="44"/>
          <w:szCs w:val="24"/>
          <w:lang w:eastAsia="tr-TR"/>
        </w:rPr>
      </w:pPr>
      <w:r w:rsidRPr="00F438C0">
        <w:rPr>
          <w:rFonts w:ascii="Times New Roman" w:eastAsia="Times New Roman" w:hAnsi="Times New Roman" w:cs="Times New Roman"/>
          <w:sz w:val="32"/>
          <w:szCs w:val="24"/>
          <w:lang w:eastAsia="tr-TR"/>
        </w:rPr>
        <w:tab/>
      </w:r>
      <w:proofErr w:type="gramStart"/>
      <w:r w:rsidRPr="00F438C0">
        <w:rPr>
          <w:rFonts w:ascii="Verdana" w:eastAsia="Times New Roman" w:hAnsi="Verdana" w:cs="Times New Roman"/>
          <w:b/>
          <w:sz w:val="24"/>
          <w:lang w:eastAsia="tr-TR"/>
        </w:rPr>
        <w:t>dolayısıyla</w:t>
      </w:r>
      <w:proofErr w:type="gramEnd"/>
      <w:r w:rsidRPr="00F438C0">
        <w:rPr>
          <w:rFonts w:ascii="Verdana" w:eastAsia="Times New Roman" w:hAnsi="Verdana" w:cs="Times New Roman"/>
          <w:b/>
          <w:sz w:val="24"/>
          <w:szCs w:val="15"/>
          <w:lang w:eastAsia="tr-TR"/>
        </w:rPr>
        <w:t xml:space="preserve"> iktisadi işletme oluşmuş sayılmaz."</w:t>
      </w:r>
    </w:p>
    <w:p w:rsidR="00CF3CC2" w:rsidRDefault="00CF3CC2"/>
    <w:sectPr w:rsidR="00CF3CC2" w:rsidSect="00CF3C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37C2"/>
    <w:rsid w:val="00146097"/>
    <w:rsid w:val="00180829"/>
    <w:rsid w:val="001D3BC9"/>
    <w:rsid w:val="001F7E47"/>
    <w:rsid w:val="00227062"/>
    <w:rsid w:val="002B7E8B"/>
    <w:rsid w:val="003932CF"/>
    <w:rsid w:val="003B1B10"/>
    <w:rsid w:val="0043579C"/>
    <w:rsid w:val="004B37C2"/>
    <w:rsid w:val="004E061A"/>
    <w:rsid w:val="0063769E"/>
    <w:rsid w:val="00775861"/>
    <w:rsid w:val="00B045FF"/>
    <w:rsid w:val="00B150AE"/>
    <w:rsid w:val="00CF3CC2"/>
    <w:rsid w:val="00D8278E"/>
    <w:rsid w:val="00DE3F1D"/>
    <w:rsid w:val="00E61C12"/>
    <w:rsid w:val="00EB012B"/>
    <w:rsid w:val="00F438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C2"/>
  </w:style>
  <w:style w:type="paragraph" w:styleId="Balk2">
    <w:name w:val="heading 2"/>
    <w:basedOn w:val="Normal"/>
    <w:link w:val="Balk2Char"/>
    <w:qFormat/>
    <w:rsid w:val="00DE3F1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4B37C2"/>
  </w:style>
  <w:style w:type="character" w:customStyle="1" w:styleId="spelle">
    <w:name w:val="spelle"/>
    <w:basedOn w:val="VarsaylanParagrafYazTipi"/>
    <w:rsid w:val="004B37C2"/>
  </w:style>
  <w:style w:type="paragraph" w:styleId="BalonMetni">
    <w:name w:val="Balloon Text"/>
    <w:basedOn w:val="Normal"/>
    <w:link w:val="BalonMetniChar"/>
    <w:uiPriority w:val="99"/>
    <w:semiHidden/>
    <w:unhideWhenUsed/>
    <w:rsid w:val="00DE3F1D"/>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3F1D"/>
    <w:rPr>
      <w:rFonts w:ascii="Tahoma" w:hAnsi="Tahoma" w:cs="Tahoma"/>
      <w:sz w:val="16"/>
      <w:szCs w:val="16"/>
    </w:rPr>
  </w:style>
  <w:style w:type="paragraph" w:customStyle="1" w:styleId="satnalma">
    <w:name w:val="satınalma"/>
    <w:basedOn w:val="Normal"/>
    <w:rsid w:val="00DE3F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DE3F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rsid w:val="00DE3F1D"/>
    <w:rPr>
      <w:rFonts w:ascii="Times New Roman" w:eastAsia="Times New Roman" w:hAnsi="Times New Roman" w:cs="Times New Roman"/>
      <w:b/>
      <w:bCs/>
      <w:sz w:val="36"/>
      <w:szCs w:val="36"/>
      <w:lang w:eastAsia="tr-TR"/>
    </w:rPr>
  </w:style>
  <w:style w:type="paragraph" w:styleId="GvdeMetni2">
    <w:name w:val="Body Text 2"/>
    <w:basedOn w:val="Normal"/>
    <w:link w:val="GvdeMetni2Char"/>
    <w:rsid w:val="00DE3F1D"/>
    <w:pPr>
      <w:tabs>
        <w:tab w:val="center" w:pos="1740"/>
        <w:tab w:val="center" w:pos="5896"/>
      </w:tabs>
      <w:spacing w:line="240" w:lineRule="exact"/>
      <w:jc w:val="both"/>
    </w:pPr>
    <w:rPr>
      <w:rFonts w:ascii="Times New Roman" w:eastAsia="Times New Roman" w:hAnsi="Times New Roman" w:cs="Times New Roman"/>
      <w:b/>
      <w:sz w:val="24"/>
      <w:szCs w:val="18"/>
      <w:lang w:eastAsia="tr-TR"/>
    </w:rPr>
  </w:style>
  <w:style w:type="character" w:customStyle="1" w:styleId="GvdeMetni2Char">
    <w:name w:val="Gövde Metni 2 Char"/>
    <w:basedOn w:val="VarsaylanParagrafYazTipi"/>
    <w:link w:val="GvdeMetni2"/>
    <w:rsid w:val="00DE3F1D"/>
    <w:rPr>
      <w:rFonts w:ascii="Times New Roman" w:eastAsia="Times New Roman" w:hAnsi="Times New Roman" w:cs="Times New Roman"/>
      <w:b/>
      <w:sz w:val="24"/>
      <w:szCs w:val="18"/>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rega.basbakanlik.gov.tr/Eskiler/2004/07/T.C.-resmi-gazete.gif" TargetMode="External"/><Relationship Id="rId4"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2011-03-14T16:23:00Z</dcterms:created>
  <dcterms:modified xsi:type="dcterms:W3CDTF">2011-03-14T17:19:00Z</dcterms:modified>
</cp:coreProperties>
</file>