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AF" w:rsidRPr="009B2753" w:rsidRDefault="001866AF" w:rsidP="003167D1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B2753">
        <w:rPr>
          <w:rFonts w:ascii="Times New Roman" w:hAnsi="Times New Roman"/>
          <w:b/>
          <w:sz w:val="24"/>
          <w:szCs w:val="24"/>
        </w:rPr>
        <w:t xml:space="preserve">FARK </w:t>
      </w:r>
      <w:r w:rsidR="003C6BC5" w:rsidRPr="009B2753">
        <w:rPr>
          <w:rFonts w:ascii="Times New Roman" w:hAnsi="Times New Roman"/>
          <w:b/>
          <w:sz w:val="24"/>
          <w:szCs w:val="24"/>
        </w:rPr>
        <w:t xml:space="preserve">TUTARI </w:t>
      </w:r>
      <w:r w:rsidRPr="009B2753">
        <w:rPr>
          <w:rFonts w:ascii="Times New Roman" w:hAnsi="Times New Roman"/>
          <w:b/>
          <w:sz w:val="24"/>
          <w:szCs w:val="24"/>
        </w:rPr>
        <w:t>PROSEDÜRÜ</w:t>
      </w:r>
    </w:p>
    <w:p w:rsidR="001866AF" w:rsidRPr="009B2753" w:rsidRDefault="001866AF" w:rsidP="00316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1866AF" w:rsidP="003167D1">
      <w:pPr>
        <w:tabs>
          <w:tab w:val="left" w:pos="-5103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Amaç</w:t>
      </w:r>
    </w:p>
    <w:p w:rsidR="001866AF" w:rsidRPr="009B2753" w:rsidRDefault="001866AF" w:rsidP="003167D1">
      <w:pPr>
        <w:tabs>
          <w:tab w:val="left" w:pos="-510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MADDE 1 –</w:t>
      </w:r>
      <w:r w:rsidRPr="009B2753">
        <w:rPr>
          <w:rFonts w:ascii="Times New Roman" w:hAnsi="Times New Roman"/>
          <w:sz w:val="24"/>
          <w:szCs w:val="24"/>
        </w:rPr>
        <w:t xml:space="preserve"> (1) Bu Prosedürün amacı Elektrik Piyasası Dengeleme ve Uzlaştırma Yönetmeliği uyarınca </w:t>
      </w:r>
      <w:r w:rsidR="005B5849" w:rsidRPr="009B2753">
        <w:rPr>
          <w:rFonts w:ascii="Times New Roman" w:hAnsi="Times New Roman"/>
          <w:sz w:val="24"/>
          <w:szCs w:val="24"/>
        </w:rPr>
        <w:t xml:space="preserve">gün öncesi piyasasında </w:t>
      </w:r>
      <w:r w:rsidRPr="009B2753">
        <w:rPr>
          <w:rFonts w:ascii="Times New Roman" w:hAnsi="Times New Roman"/>
          <w:sz w:val="24"/>
          <w:szCs w:val="24"/>
        </w:rPr>
        <w:t xml:space="preserve">yuvarlama ve blok teklifler sebebiyle oluşan günlük </w:t>
      </w:r>
      <w:r w:rsidR="009B2753">
        <w:rPr>
          <w:rFonts w:ascii="Times New Roman" w:hAnsi="Times New Roman"/>
          <w:sz w:val="24"/>
          <w:szCs w:val="24"/>
        </w:rPr>
        <w:t xml:space="preserve">toplam </w:t>
      </w:r>
      <w:r w:rsidR="00EE5886" w:rsidRPr="009B2753">
        <w:rPr>
          <w:rFonts w:ascii="Times New Roman" w:hAnsi="Times New Roman"/>
          <w:sz w:val="24"/>
          <w:szCs w:val="24"/>
        </w:rPr>
        <w:t>gün öncesi</w:t>
      </w:r>
      <w:r w:rsidRPr="009B2753">
        <w:rPr>
          <w:rFonts w:ascii="Times New Roman" w:hAnsi="Times New Roman"/>
          <w:sz w:val="24"/>
          <w:szCs w:val="24"/>
        </w:rPr>
        <w:t xml:space="preserve"> alış tutarı </w:t>
      </w:r>
      <w:r w:rsidR="00EE5886" w:rsidRPr="009B2753">
        <w:rPr>
          <w:rFonts w:ascii="Times New Roman" w:hAnsi="Times New Roman"/>
          <w:sz w:val="24"/>
          <w:szCs w:val="24"/>
        </w:rPr>
        <w:t>il</w:t>
      </w:r>
      <w:r w:rsidRPr="009B2753">
        <w:rPr>
          <w:rFonts w:ascii="Times New Roman" w:hAnsi="Times New Roman"/>
          <w:sz w:val="24"/>
          <w:szCs w:val="24"/>
        </w:rPr>
        <w:t xml:space="preserve">e </w:t>
      </w:r>
      <w:r w:rsidR="00EE5886" w:rsidRPr="009B2753">
        <w:rPr>
          <w:rFonts w:ascii="Times New Roman" w:hAnsi="Times New Roman"/>
          <w:sz w:val="24"/>
          <w:szCs w:val="24"/>
        </w:rPr>
        <w:t xml:space="preserve">gün öncesi </w:t>
      </w:r>
      <w:r w:rsidRPr="009B2753">
        <w:rPr>
          <w:rFonts w:ascii="Times New Roman" w:hAnsi="Times New Roman"/>
          <w:sz w:val="24"/>
          <w:szCs w:val="24"/>
        </w:rPr>
        <w:t xml:space="preserve">satış tutarı arasındaki farkın </w:t>
      </w:r>
      <w:r w:rsidR="00EE5886" w:rsidRPr="009B2753">
        <w:rPr>
          <w:rFonts w:ascii="Times New Roman" w:hAnsi="Times New Roman"/>
          <w:sz w:val="24"/>
          <w:szCs w:val="24"/>
        </w:rPr>
        <w:t xml:space="preserve">gün öncesi piyasası </w:t>
      </w:r>
      <w:r w:rsidR="005B5849" w:rsidRPr="009B2753">
        <w:rPr>
          <w:rFonts w:ascii="Times New Roman" w:hAnsi="Times New Roman"/>
          <w:sz w:val="24"/>
          <w:szCs w:val="24"/>
        </w:rPr>
        <w:t>katılımcılarına tahakkuk ettirilmesine ilişkin esasların belirlenmesidir.</w:t>
      </w:r>
    </w:p>
    <w:p w:rsidR="001866AF" w:rsidRPr="009B2753" w:rsidRDefault="001866AF" w:rsidP="003167D1">
      <w:pPr>
        <w:tabs>
          <w:tab w:val="left" w:pos="-3969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1866AF" w:rsidRPr="009B2753" w:rsidRDefault="001866AF" w:rsidP="003167D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Kapsam</w:t>
      </w:r>
    </w:p>
    <w:p w:rsidR="001866AF" w:rsidRPr="009B2753" w:rsidRDefault="001866AF" w:rsidP="003167D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MADDE 2 –</w:t>
      </w:r>
      <w:r w:rsidRPr="009B2753">
        <w:rPr>
          <w:rFonts w:ascii="Times New Roman" w:hAnsi="Times New Roman"/>
          <w:sz w:val="24"/>
          <w:szCs w:val="24"/>
        </w:rPr>
        <w:t xml:space="preserve"> (1) Bu Prosedür, fark </w:t>
      </w:r>
      <w:r w:rsidR="00EE5886" w:rsidRPr="009B2753">
        <w:rPr>
          <w:rFonts w:ascii="Times New Roman" w:hAnsi="Times New Roman"/>
          <w:sz w:val="24"/>
          <w:szCs w:val="24"/>
        </w:rPr>
        <w:t>tutarına</w:t>
      </w:r>
      <w:r w:rsidRPr="009B2753">
        <w:rPr>
          <w:rFonts w:ascii="Times New Roman" w:hAnsi="Times New Roman"/>
          <w:sz w:val="24"/>
          <w:szCs w:val="24"/>
        </w:rPr>
        <w:t xml:space="preserve"> ilişkin </w:t>
      </w:r>
      <w:r w:rsidR="00EE5886" w:rsidRPr="009B2753">
        <w:rPr>
          <w:rFonts w:ascii="Times New Roman" w:hAnsi="Times New Roman"/>
          <w:sz w:val="24"/>
          <w:szCs w:val="24"/>
        </w:rPr>
        <w:t>esasları</w:t>
      </w:r>
      <w:r w:rsidRPr="009B2753">
        <w:rPr>
          <w:rFonts w:ascii="Times New Roman" w:hAnsi="Times New Roman"/>
          <w:sz w:val="24"/>
          <w:szCs w:val="24"/>
        </w:rPr>
        <w:t xml:space="preserve"> kapsar.</w:t>
      </w:r>
    </w:p>
    <w:p w:rsidR="001866AF" w:rsidRPr="009B2753" w:rsidRDefault="001866AF" w:rsidP="003167D1">
      <w:pPr>
        <w:tabs>
          <w:tab w:val="left" w:pos="56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866AF" w:rsidRPr="009B2753" w:rsidRDefault="001866AF" w:rsidP="003167D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Dayanak</w:t>
      </w:r>
    </w:p>
    <w:p w:rsidR="001866AF" w:rsidRPr="009B2753" w:rsidRDefault="001866AF" w:rsidP="003167D1">
      <w:pPr>
        <w:tabs>
          <w:tab w:val="left" w:pos="-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MADDE 3 –</w:t>
      </w:r>
      <w:r w:rsidRPr="009B2753">
        <w:rPr>
          <w:rFonts w:ascii="Times New Roman" w:hAnsi="Times New Roman"/>
          <w:sz w:val="24"/>
          <w:szCs w:val="24"/>
        </w:rPr>
        <w:t xml:space="preserve"> (1) Bu Prosedür Elektrik Piyasası Dengeleme ve Uzlaştırma Yönetmeliğinin </w:t>
      </w:r>
      <w:r w:rsidR="009B2753" w:rsidRPr="009B2753">
        <w:rPr>
          <w:rFonts w:ascii="Times New Roman" w:hAnsi="Times New Roman"/>
          <w:sz w:val="24"/>
          <w:szCs w:val="24"/>
        </w:rPr>
        <w:t>89 uncu</w:t>
      </w:r>
      <w:r w:rsidRPr="009B2753">
        <w:rPr>
          <w:rFonts w:ascii="Times New Roman" w:hAnsi="Times New Roman"/>
          <w:sz w:val="24"/>
          <w:szCs w:val="24"/>
        </w:rPr>
        <w:t xml:space="preserve"> maddesi uyarınca hazırlanmıştır.</w:t>
      </w:r>
    </w:p>
    <w:p w:rsidR="001866AF" w:rsidRPr="009B2753" w:rsidRDefault="001866AF" w:rsidP="003167D1">
      <w:pPr>
        <w:tabs>
          <w:tab w:val="left" w:pos="-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1866AF" w:rsidP="003167D1">
      <w:pPr>
        <w:tabs>
          <w:tab w:val="left" w:pos="-396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 xml:space="preserve">Fark </w:t>
      </w:r>
      <w:r w:rsidR="002051A2" w:rsidRPr="009B2753">
        <w:rPr>
          <w:rFonts w:ascii="Times New Roman" w:hAnsi="Times New Roman"/>
          <w:b/>
          <w:sz w:val="24"/>
          <w:szCs w:val="24"/>
        </w:rPr>
        <w:t>tutarına</w:t>
      </w:r>
      <w:r w:rsidRPr="009B2753">
        <w:rPr>
          <w:rFonts w:ascii="Times New Roman" w:hAnsi="Times New Roman"/>
          <w:b/>
          <w:sz w:val="24"/>
          <w:szCs w:val="24"/>
        </w:rPr>
        <w:t xml:space="preserve"> ilişkin genel esaslar</w:t>
      </w:r>
    </w:p>
    <w:p w:rsidR="001866AF" w:rsidRPr="009B2753" w:rsidRDefault="001866AF" w:rsidP="003167D1">
      <w:pPr>
        <w:tabs>
          <w:tab w:val="left" w:pos="-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 xml:space="preserve">MADDE 4 – </w:t>
      </w:r>
      <w:r w:rsidRPr="009B2753">
        <w:rPr>
          <w:rFonts w:ascii="Times New Roman" w:hAnsi="Times New Roman"/>
          <w:sz w:val="24"/>
          <w:szCs w:val="24"/>
        </w:rPr>
        <w:t xml:space="preserve">(1) </w:t>
      </w:r>
      <w:r w:rsidR="00572E1A" w:rsidRPr="009B2753">
        <w:rPr>
          <w:rFonts w:ascii="Times New Roman" w:hAnsi="Times New Roman"/>
          <w:sz w:val="24"/>
          <w:szCs w:val="24"/>
        </w:rPr>
        <w:t xml:space="preserve">Gün </w:t>
      </w:r>
      <w:r w:rsidR="002051A2" w:rsidRPr="009B2753">
        <w:rPr>
          <w:rFonts w:ascii="Times New Roman" w:hAnsi="Times New Roman"/>
          <w:sz w:val="24"/>
          <w:szCs w:val="24"/>
        </w:rPr>
        <w:t>öncesi piyasası</w:t>
      </w:r>
      <w:r w:rsidRPr="009B2753">
        <w:rPr>
          <w:rFonts w:ascii="Times New Roman" w:hAnsi="Times New Roman"/>
          <w:sz w:val="24"/>
          <w:szCs w:val="24"/>
        </w:rPr>
        <w:t xml:space="preserve">nda </w:t>
      </w:r>
      <w:r w:rsidR="00CB4A4C" w:rsidRPr="009B2753">
        <w:rPr>
          <w:rFonts w:ascii="Times New Roman" w:hAnsi="Times New Roman"/>
          <w:sz w:val="24"/>
          <w:szCs w:val="24"/>
        </w:rPr>
        <w:t xml:space="preserve">fiyat ve miktar belirleme </w:t>
      </w:r>
      <w:r w:rsidRPr="009B2753">
        <w:rPr>
          <w:rFonts w:ascii="Times New Roman" w:hAnsi="Times New Roman"/>
          <w:sz w:val="24"/>
          <w:szCs w:val="24"/>
        </w:rPr>
        <w:t xml:space="preserve">işlemi sırasında daha yüksek duyarlıklı yapılan işlemleri Piyasa Takas </w:t>
      </w:r>
      <w:proofErr w:type="spellStart"/>
      <w:r w:rsidRPr="009B2753">
        <w:rPr>
          <w:rFonts w:ascii="Times New Roman" w:hAnsi="Times New Roman"/>
          <w:sz w:val="24"/>
          <w:szCs w:val="24"/>
        </w:rPr>
        <w:t>Fiyatı’nda</w:t>
      </w:r>
      <w:proofErr w:type="spellEnd"/>
      <w:r w:rsidRPr="009B2753">
        <w:rPr>
          <w:rFonts w:ascii="Times New Roman" w:hAnsi="Times New Roman"/>
          <w:sz w:val="24"/>
          <w:szCs w:val="24"/>
        </w:rPr>
        <w:t xml:space="preserve"> kuruş ve miktarda da </w:t>
      </w:r>
      <w:proofErr w:type="gramStart"/>
      <w:r w:rsidRPr="009B2753">
        <w:rPr>
          <w:rFonts w:ascii="Times New Roman" w:hAnsi="Times New Roman"/>
          <w:sz w:val="24"/>
          <w:szCs w:val="24"/>
        </w:rPr>
        <w:t>lot</w:t>
      </w:r>
      <w:proofErr w:type="gramEnd"/>
      <w:r w:rsidRPr="009B2753">
        <w:rPr>
          <w:rFonts w:ascii="Times New Roman" w:hAnsi="Times New Roman"/>
          <w:sz w:val="24"/>
          <w:szCs w:val="24"/>
        </w:rPr>
        <w:t xml:space="preserve"> seviyesine getirmek amacıyla yapılan yuvarlamalar </w:t>
      </w:r>
      <w:r w:rsidR="002051A2" w:rsidRPr="009B2753">
        <w:rPr>
          <w:rFonts w:ascii="Times New Roman" w:hAnsi="Times New Roman"/>
          <w:sz w:val="24"/>
          <w:szCs w:val="24"/>
        </w:rPr>
        <w:t>ve</w:t>
      </w:r>
      <w:r w:rsidRPr="009B2753">
        <w:rPr>
          <w:rFonts w:ascii="Times New Roman" w:hAnsi="Times New Roman"/>
          <w:sz w:val="24"/>
          <w:szCs w:val="24"/>
        </w:rPr>
        <w:t xml:space="preserve"> blok teklifler sebebiyle oluşan günlük </w:t>
      </w:r>
      <w:r w:rsidR="002051A2" w:rsidRPr="009B2753">
        <w:rPr>
          <w:rFonts w:ascii="Times New Roman" w:hAnsi="Times New Roman"/>
          <w:sz w:val="24"/>
          <w:szCs w:val="24"/>
        </w:rPr>
        <w:t>toplam gün öncesi alış tutarı il</w:t>
      </w:r>
      <w:r w:rsidRPr="009B2753">
        <w:rPr>
          <w:rFonts w:ascii="Times New Roman" w:hAnsi="Times New Roman"/>
          <w:sz w:val="24"/>
          <w:szCs w:val="24"/>
        </w:rPr>
        <w:t xml:space="preserve">e </w:t>
      </w:r>
      <w:r w:rsidR="002051A2" w:rsidRPr="009B2753">
        <w:rPr>
          <w:rFonts w:ascii="Times New Roman" w:hAnsi="Times New Roman"/>
          <w:sz w:val="24"/>
          <w:szCs w:val="24"/>
        </w:rPr>
        <w:t xml:space="preserve">gün öncesi </w:t>
      </w:r>
      <w:r w:rsidR="000447D7" w:rsidRPr="009B2753">
        <w:rPr>
          <w:rFonts w:ascii="Times New Roman" w:hAnsi="Times New Roman"/>
          <w:sz w:val="24"/>
          <w:szCs w:val="24"/>
        </w:rPr>
        <w:t>satış tutarı arasındaki fark,</w:t>
      </w:r>
      <w:r w:rsidRPr="009B2753">
        <w:rPr>
          <w:rFonts w:ascii="Times New Roman" w:hAnsi="Times New Roman"/>
          <w:sz w:val="24"/>
          <w:szCs w:val="24"/>
        </w:rPr>
        <w:t xml:space="preserve"> </w:t>
      </w:r>
      <w:r w:rsidR="009870ED">
        <w:rPr>
          <w:rFonts w:ascii="Times New Roman" w:hAnsi="Times New Roman"/>
          <w:sz w:val="24"/>
          <w:szCs w:val="24"/>
        </w:rPr>
        <w:t xml:space="preserve">gün öncesi piyasası </w:t>
      </w:r>
      <w:r w:rsidR="00D45D8E" w:rsidRPr="009B2753">
        <w:rPr>
          <w:rFonts w:ascii="Times New Roman" w:hAnsi="Times New Roman"/>
          <w:sz w:val="24"/>
          <w:szCs w:val="24"/>
        </w:rPr>
        <w:t>katılımcılar</w:t>
      </w:r>
      <w:r w:rsidR="009870ED">
        <w:rPr>
          <w:rFonts w:ascii="Times New Roman" w:hAnsi="Times New Roman"/>
          <w:sz w:val="24"/>
          <w:szCs w:val="24"/>
        </w:rPr>
        <w:t>ın</w:t>
      </w:r>
      <w:r w:rsidR="00D45D8E" w:rsidRPr="009B2753">
        <w:rPr>
          <w:rFonts w:ascii="Times New Roman" w:hAnsi="Times New Roman"/>
          <w:sz w:val="24"/>
          <w:szCs w:val="24"/>
        </w:rPr>
        <w:t>a alacak veya borç tahakkuk ettirilir.</w:t>
      </w:r>
    </w:p>
    <w:p w:rsidR="001866AF" w:rsidRDefault="001866AF" w:rsidP="003167D1">
      <w:pPr>
        <w:tabs>
          <w:tab w:val="left" w:pos="-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 xml:space="preserve">(2) </w:t>
      </w:r>
      <w:r w:rsidR="009870ED">
        <w:rPr>
          <w:rFonts w:ascii="Times New Roman" w:hAnsi="Times New Roman"/>
          <w:sz w:val="24"/>
          <w:szCs w:val="24"/>
        </w:rPr>
        <w:t xml:space="preserve">Bir </w:t>
      </w:r>
      <w:r w:rsidRPr="009B2753">
        <w:rPr>
          <w:rFonts w:ascii="Times New Roman" w:hAnsi="Times New Roman"/>
          <w:sz w:val="24"/>
          <w:szCs w:val="24"/>
        </w:rPr>
        <w:t>katılımcı</w:t>
      </w:r>
      <w:r w:rsidR="009870ED">
        <w:rPr>
          <w:rFonts w:ascii="Times New Roman" w:hAnsi="Times New Roman"/>
          <w:sz w:val="24"/>
          <w:szCs w:val="24"/>
        </w:rPr>
        <w:t>ya</w:t>
      </w:r>
      <w:r w:rsidRPr="009B2753">
        <w:rPr>
          <w:rFonts w:ascii="Times New Roman" w:hAnsi="Times New Roman"/>
          <w:sz w:val="24"/>
          <w:szCs w:val="24"/>
        </w:rPr>
        <w:t xml:space="preserve"> </w:t>
      </w:r>
      <w:r w:rsidR="002D245E" w:rsidRPr="009B2753">
        <w:rPr>
          <w:rFonts w:ascii="Times New Roman" w:hAnsi="Times New Roman"/>
          <w:sz w:val="24"/>
          <w:szCs w:val="24"/>
        </w:rPr>
        <w:t>tahakkuk ettirilecek</w:t>
      </w:r>
      <w:r w:rsidRPr="009B2753">
        <w:rPr>
          <w:rFonts w:ascii="Times New Roman" w:hAnsi="Times New Roman"/>
          <w:sz w:val="24"/>
          <w:szCs w:val="24"/>
        </w:rPr>
        <w:t xml:space="preserve"> fark tutarı aşağıdaki şekilde hesaplanır:</w:t>
      </w:r>
    </w:p>
    <w:p w:rsidR="009870ED" w:rsidRPr="009B2753" w:rsidRDefault="009870ED" w:rsidP="003167D1">
      <w:pPr>
        <w:tabs>
          <w:tab w:val="left" w:pos="-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9B2753">
        <w:rPr>
          <w:rFonts w:ascii="Times New Roman" w:hAnsi="Times New Roman"/>
          <w:sz w:val="24"/>
          <w:szCs w:val="24"/>
        </w:rPr>
        <w:t>Günlük toplam gün öncesi alış tutarı ile gün öncesi satış tutarı arasındaki fark</w:t>
      </w:r>
      <w:r w:rsidRPr="009870ED">
        <w:rPr>
          <w:rFonts w:ascii="Times New Roman" w:hAnsi="Times New Roman"/>
          <w:sz w:val="24"/>
          <w:szCs w:val="24"/>
        </w:rPr>
        <w:t xml:space="preserve"> </w:t>
      </w:r>
      <w:r w:rsidRPr="009B2753">
        <w:rPr>
          <w:rFonts w:ascii="Times New Roman" w:hAnsi="Times New Roman"/>
          <w:sz w:val="24"/>
          <w:szCs w:val="24"/>
        </w:rPr>
        <w:t>hesaplanır</w:t>
      </w:r>
      <w:r>
        <w:rPr>
          <w:rFonts w:ascii="Times New Roman" w:hAnsi="Times New Roman"/>
          <w:sz w:val="24"/>
          <w:szCs w:val="24"/>
        </w:rPr>
        <w:t>.</w:t>
      </w:r>
    </w:p>
    <w:p w:rsidR="001866AF" w:rsidRPr="009B2753" w:rsidRDefault="009870ED" w:rsidP="003167D1">
      <w:pPr>
        <w:pStyle w:val="ListeParagraf1"/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866AF" w:rsidRPr="009B2753">
        <w:rPr>
          <w:rFonts w:ascii="Times New Roman" w:hAnsi="Times New Roman"/>
          <w:sz w:val="24"/>
          <w:szCs w:val="24"/>
        </w:rPr>
        <w:t xml:space="preserve">) Piyasa katılımcısının ilgili </w:t>
      </w:r>
      <w:r w:rsidR="00C1469D" w:rsidRPr="009B2753">
        <w:rPr>
          <w:rFonts w:ascii="Times New Roman" w:hAnsi="Times New Roman"/>
          <w:sz w:val="24"/>
          <w:szCs w:val="24"/>
        </w:rPr>
        <w:t xml:space="preserve">gündeki gün öncesi alış </w:t>
      </w:r>
      <w:r>
        <w:rPr>
          <w:rFonts w:ascii="Times New Roman" w:hAnsi="Times New Roman"/>
          <w:sz w:val="24"/>
          <w:szCs w:val="24"/>
        </w:rPr>
        <w:t xml:space="preserve">ve </w:t>
      </w:r>
      <w:r w:rsidR="00C1469D" w:rsidRPr="009B2753">
        <w:rPr>
          <w:rFonts w:ascii="Times New Roman" w:hAnsi="Times New Roman"/>
          <w:sz w:val="24"/>
          <w:szCs w:val="24"/>
        </w:rPr>
        <w:t xml:space="preserve">satış miktarları toplamı, tüm </w:t>
      </w:r>
      <w:proofErr w:type="gramStart"/>
      <w:r w:rsidR="00C1469D" w:rsidRPr="009B2753">
        <w:rPr>
          <w:rFonts w:ascii="Times New Roman" w:hAnsi="Times New Roman"/>
          <w:sz w:val="24"/>
          <w:szCs w:val="24"/>
        </w:rPr>
        <w:t>piyasa</w:t>
      </w:r>
      <w:proofErr w:type="gramEnd"/>
      <w:r w:rsidR="00C1469D" w:rsidRPr="009B2753">
        <w:rPr>
          <w:rFonts w:ascii="Times New Roman" w:hAnsi="Times New Roman"/>
          <w:sz w:val="24"/>
          <w:szCs w:val="24"/>
        </w:rPr>
        <w:t xml:space="preserve"> katılımcılarının gün öncesi alış </w:t>
      </w:r>
      <w:r>
        <w:rPr>
          <w:rFonts w:ascii="Times New Roman" w:hAnsi="Times New Roman"/>
          <w:sz w:val="24"/>
          <w:szCs w:val="24"/>
        </w:rPr>
        <w:t xml:space="preserve">ve </w:t>
      </w:r>
      <w:r w:rsidR="00C1469D" w:rsidRPr="009B2753">
        <w:rPr>
          <w:rFonts w:ascii="Times New Roman" w:hAnsi="Times New Roman"/>
          <w:sz w:val="24"/>
          <w:szCs w:val="24"/>
        </w:rPr>
        <w:t>satış miktarları toplamına bölünür.</w:t>
      </w:r>
    </w:p>
    <w:p w:rsidR="001866AF" w:rsidRPr="009B2753" w:rsidRDefault="009870ED" w:rsidP="00D6323B">
      <w:pPr>
        <w:pStyle w:val="ListeParagraf1"/>
        <w:tabs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012FAB">
        <w:rPr>
          <w:rFonts w:ascii="Times New Roman" w:hAnsi="Times New Roman"/>
          <w:sz w:val="24"/>
          <w:szCs w:val="24"/>
        </w:rPr>
        <w:t>(</w:t>
      </w:r>
      <w:r w:rsidR="00A77B8E">
        <w:rPr>
          <w:rFonts w:ascii="Times New Roman" w:hAnsi="Times New Roman"/>
          <w:sz w:val="24"/>
          <w:szCs w:val="24"/>
        </w:rPr>
        <w:t>a</w:t>
      </w:r>
      <w:r w:rsidR="00012FAB">
        <w:rPr>
          <w:rFonts w:ascii="Times New Roman" w:hAnsi="Times New Roman"/>
          <w:sz w:val="24"/>
          <w:szCs w:val="24"/>
        </w:rPr>
        <w:t>)</w:t>
      </w:r>
      <w:r w:rsidR="005E68EF">
        <w:rPr>
          <w:rFonts w:ascii="Times New Roman" w:hAnsi="Times New Roman"/>
          <w:sz w:val="24"/>
          <w:szCs w:val="24"/>
        </w:rPr>
        <w:t>’</w:t>
      </w:r>
      <w:r w:rsidR="00A77B8E">
        <w:rPr>
          <w:rFonts w:ascii="Times New Roman" w:hAnsi="Times New Roman"/>
          <w:sz w:val="24"/>
          <w:szCs w:val="24"/>
        </w:rPr>
        <w:t>da</w:t>
      </w:r>
      <w:r w:rsidR="005E68EF">
        <w:rPr>
          <w:rFonts w:ascii="Times New Roman" w:hAnsi="Times New Roman"/>
          <w:sz w:val="24"/>
          <w:szCs w:val="24"/>
        </w:rPr>
        <w:t xml:space="preserve"> h</w:t>
      </w:r>
      <w:r w:rsidR="001866AF" w:rsidRPr="009B2753">
        <w:rPr>
          <w:rFonts w:ascii="Times New Roman" w:hAnsi="Times New Roman"/>
          <w:sz w:val="24"/>
          <w:szCs w:val="24"/>
        </w:rPr>
        <w:t xml:space="preserve">esaplanan </w:t>
      </w:r>
      <w:r w:rsidR="005E68EF">
        <w:rPr>
          <w:rFonts w:ascii="Times New Roman" w:hAnsi="Times New Roman"/>
          <w:sz w:val="24"/>
          <w:szCs w:val="24"/>
        </w:rPr>
        <w:t xml:space="preserve">fark tutarı </w:t>
      </w:r>
      <w:r w:rsidR="001866AF" w:rsidRPr="009B2753">
        <w:rPr>
          <w:rFonts w:ascii="Times New Roman" w:hAnsi="Times New Roman"/>
          <w:sz w:val="24"/>
          <w:szCs w:val="24"/>
        </w:rPr>
        <w:t xml:space="preserve">negatif ise </w:t>
      </w:r>
      <w:r w:rsidR="005E68EF">
        <w:rPr>
          <w:rFonts w:ascii="Times New Roman" w:hAnsi="Times New Roman"/>
          <w:sz w:val="24"/>
          <w:szCs w:val="24"/>
        </w:rPr>
        <w:t>bu tutar</w:t>
      </w:r>
      <w:r w:rsidR="001866AF" w:rsidRPr="009B2753">
        <w:rPr>
          <w:rFonts w:ascii="Times New Roman" w:hAnsi="Times New Roman"/>
          <w:sz w:val="24"/>
          <w:szCs w:val="24"/>
        </w:rPr>
        <w:t xml:space="preserve"> ile </w:t>
      </w:r>
      <w:r w:rsidR="00A77B8E">
        <w:rPr>
          <w:rFonts w:ascii="Times New Roman" w:hAnsi="Times New Roman"/>
          <w:sz w:val="24"/>
          <w:szCs w:val="24"/>
        </w:rPr>
        <w:t>(b</w:t>
      </w:r>
      <w:r w:rsidR="001866AF" w:rsidRPr="009B2753">
        <w:rPr>
          <w:rFonts w:ascii="Times New Roman" w:hAnsi="Times New Roman"/>
          <w:sz w:val="24"/>
          <w:szCs w:val="24"/>
        </w:rPr>
        <w:t>)</w:t>
      </w:r>
      <w:r w:rsidR="00012FAB">
        <w:rPr>
          <w:rFonts w:ascii="Times New Roman" w:hAnsi="Times New Roman"/>
          <w:sz w:val="24"/>
          <w:szCs w:val="24"/>
        </w:rPr>
        <w:t>’</w:t>
      </w:r>
      <w:r w:rsidR="00A77B8E">
        <w:rPr>
          <w:rFonts w:ascii="Times New Roman" w:hAnsi="Times New Roman"/>
          <w:sz w:val="24"/>
          <w:szCs w:val="24"/>
        </w:rPr>
        <w:t>de</w:t>
      </w:r>
      <w:r w:rsidR="001866AF" w:rsidRPr="009B2753">
        <w:rPr>
          <w:rFonts w:ascii="Times New Roman" w:hAnsi="Times New Roman"/>
          <w:sz w:val="24"/>
          <w:szCs w:val="24"/>
        </w:rPr>
        <w:t xml:space="preserve"> hesaplanan </w:t>
      </w:r>
      <w:r w:rsidR="005E68EF">
        <w:rPr>
          <w:rFonts w:ascii="Times New Roman" w:hAnsi="Times New Roman"/>
          <w:sz w:val="24"/>
          <w:szCs w:val="24"/>
        </w:rPr>
        <w:t xml:space="preserve">sayı </w:t>
      </w:r>
      <w:r w:rsidR="001866AF" w:rsidRPr="009B2753">
        <w:rPr>
          <w:rFonts w:ascii="Times New Roman" w:hAnsi="Times New Roman"/>
          <w:sz w:val="24"/>
          <w:szCs w:val="24"/>
        </w:rPr>
        <w:t xml:space="preserve">çarpılarak </w:t>
      </w:r>
      <w:r w:rsidR="00C1469D" w:rsidRPr="009B2753">
        <w:rPr>
          <w:rFonts w:ascii="Times New Roman" w:hAnsi="Times New Roman"/>
          <w:sz w:val="24"/>
          <w:szCs w:val="24"/>
        </w:rPr>
        <w:t xml:space="preserve">gün öncesi piyasası </w:t>
      </w:r>
      <w:r w:rsidR="005E68EF">
        <w:rPr>
          <w:rFonts w:ascii="Times New Roman" w:hAnsi="Times New Roman"/>
          <w:sz w:val="24"/>
          <w:szCs w:val="24"/>
        </w:rPr>
        <w:t>katılımcısın</w:t>
      </w:r>
      <w:r w:rsidR="00012FAB">
        <w:rPr>
          <w:rFonts w:ascii="Times New Roman" w:hAnsi="Times New Roman"/>
          <w:sz w:val="24"/>
          <w:szCs w:val="24"/>
        </w:rPr>
        <w:t>ın</w:t>
      </w:r>
      <w:r w:rsidR="005E68EF">
        <w:rPr>
          <w:rFonts w:ascii="Times New Roman" w:hAnsi="Times New Roman"/>
          <w:sz w:val="24"/>
          <w:szCs w:val="24"/>
        </w:rPr>
        <w:t xml:space="preserve"> ödemesi gereken; </w:t>
      </w:r>
      <w:r w:rsidR="001866AF" w:rsidRPr="009B2753">
        <w:rPr>
          <w:rFonts w:ascii="Times New Roman" w:hAnsi="Times New Roman"/>
          <w:sz w:val="24"/>
          <w:szCs w:val="24"/>
        </w:rPr>
        <w:t xml:space="preserve">pozitif ise </w:t>
      </w:r>
      <w:r w:rsidR="005E68EF">
        <w:rPr>
          <w:rFonts w:ascii="Times New Roman" w:hAnsi="Times New Roman"/>
          <w:sz w:val="24"/>
          <w:szCs w:val="24"/>
        </w:rPr>
        <w:t xml:space="preserve">bu </w:t>
      </w:r>
      <w:r w:rsidR="00012FAB">
        <w:rPr>
          <w:rFonts w:ascii="Times New Roman" w:hAnsi="Times New Roman"/>
          <w:sz w:val="24"/>
          <w:szCs w:val="24"/>
        </w:rPr>
        <w:t>tutar</w:t>
      </w:r>
      <w:r w:rsidR="001866AF" w:rsidRPr="009B2753">
        <w:rPr>
          <w:rFonts w:ascii="Times New Roman" w:hAnsi="Times New Roman"/>
          <w:sz w:val="24"/>
          <w:szCs w:val="24"/>
        </w:rPr>
        <w:t xml:space="preserve"> ile </w:t>
      </w:r>
      <w:r w:rsidR="00A77B8E">
        <w:rPr>
          <w:rFonts w:ascii="Times New Roman" w:hAnsi="Times New Roman"/>
          <w:sz w:val="24"/>
          <w:szCs w:val="24"/>
        </w:rPr>
        <w:t>(b</w:t>
      </w:r>
      <w:r w:rsidR="001866AF" w:rsidRPr="009B2753">
        <w:rPr>
          <w:rFonts w:ascii="Times New Roman" w:hAnsi="Times New Roman"/>
          <w:sz w:val="24"/>
          <w:szCs w:val="24"/>
        </w:rPr>
        <w:t>)</w:t>
      </w:r>
      <w:r w:rsidR="00012FAB">
        <w:rPr>
          <w:rFonts w:ascii="Times New Roman" w:hAnsi="Times New Roman"/>
          <w:sz w:val="24"/>
          <w:szCs w:val="24"/>
        </w:rPr>
        <w:t>’</w:t>
      </w:r>
      <w:r w:rsidR="00A77B8E">
        <w:rPr>
          <w:rFonts w:ascii="Times New Roman" w:hAnsi="Times New Roman"/>
          <w:sz w:val="24"/>
          <w:szCs w:val="24"/>
        </w:rPr>
        <w:t>de</w:t>
      </w:r>
      <w:r w:rsidR="001866AF" w:rsidRPr="009B2753">
        <w:rPr>
          <w:rFonts w:ascii="Times New Roman" w:hAnsi="Times New Roman"/>
          <w:sz w:val="24"/>
          <w:szCs w:val="24"/>
        </w:rPr>
        <w:t xml:space="preserve"> hesaplanan </w:t>
      </w:r>
      <w:r w:rsidR="00012FAB">
        <w:rPr>
          <w:rFonts w:ascii="Times New Roman" w:hAnsi="Times New Roman"/>
          <w:sz w:val="24"/>
          <w:szCs w:val="24"/>
        </w:rPr>
        <w:t>sayı çarpılarak</w:t>
      </w:r>
      <w:r w:rsidR="001866AF" w:rsidRPr="009B2753">
        <w:rPr>
          <w:rFonts w:ascii="Times New Roman" w:hAnsi="Times New Roman"/>
          <w:sz w:val="24"/>
          <w:szCs w:val="24"/>
        </w:rPr>
        <w:t xml:space="preserve"> </w:t>
      </w:r>
      <w:r w:rsidR="00C1469D" w:rsidRPr="009B2753">
        <w:rPr>
          <w:rFonts w:ascii="Times New Roman" w:hAnsi="Times New Roman"/>
          <w:sz w:val="24"/>
          <w:szCs w:val="24"/>
        </w:rPr>
        <w:t>gün öncesi piyasası katılımcısı</w:t>
      </w:r>
      <w:r w:rsidR="00012FAB">
        <w:rPr>
          <w:rFonts w:ascii="Times New Roman" w:hAnsi="Times New Roman"/>
          <w:sz w:val="24"/>
          <w:szCs w:val="24"/>
        </w:rPr>
        <w:t xml:space="preserve">na </w:t>
      </w:r>
      <w:r w:rsidR="001866AF" w:rsidRPr="009B2753">
        <w:rPr>
          <w:rFonts w:ascii="Times New Roman" w:hAnsi="Times New Roman"/>
          <w:sz w:val="24"/>
          <w:szCs w:val="24"/>
        </w:rPr>
        <w:t>ödenmesi gereken fark tutarı belirlenir.</w:t>
      </w:r>
    </w:p>
    <w:p w:rsidR="001866AF" w:rsidRPr="009B2753" w:rsidRDefault="001866AF" w:rsidP="003167D1">
      <w:pPr>
        <w:tabs>
          <w:tab w:val="left" w:pos="540"/>
          <w:tab w:val="left" w:pos="5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ab/>
        <w:t xml:space="preserve">ç) Belirlenen fark tutarı, ertesi güne ilişkin duyurulan avans ödeme bildirimi içerisinde </w:t>
      </w:r>
      <w:r w:rsidR="003558ED">
        <w:rPr>
          <w:rFonts w:ascii="Times New Roman" w:hAnsi="Times New Roman"/>
          <w:sz w:val="24"/>
          <w:szCs w:val="24"/>
        </w:rPr>
        <w:t>fark tutarı</w:t>
      </w:r>
      <w:r w:rsidRPr="009B2753">
        <w:rPr>
          <w:rFonts w:ascii="Times New Roman" w:hAnsi="Times New Roman"/>
          <w:sz w:val="24"/>
          <w:szCs w:val="24"/>
        </w:rPr>
        <w:t xml:space="preserve"> olarak yer alır.</w:t>
      </w:r>
    </w:p>
    <w:p w:rsidR="001866AF" w:rsidRPr="009B2753" w:rsidRDefault="001866AF" w:rsidP="003167D1">
      <w:pPr>
        <w:tabs>
          <w:tab w:val="left" w:pos="540"/>
          <w:tab w:val="left" w:pos="5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ab/>
      </w:r>
      <w:r w:rsidRPr="005C5D63">
        <w:rPr>
          <w:rFonts w:ascii="Times New Roman" w:hAnsi="Times New Roman"/>
          <w:sz w:val="24"/>
          <w:szCs w:val="24"/>
        </w:rPr>
        <w:t xml:space="preserve">d) Fark tutarı ödemesi Elektrik Piyasası Dengeleme ve Uzlaştırma Yönetmeliğinin </w:t>
      </w:r>
      <w:r w:rsidR="005C5D63" w:rsidRPr="005C5D63">
        <w:rPr>
          <w:rFonts w:ascii="Times New Roman" w:hAnsi="Times New Roman"/>
          <w:sz w:val="24"/>
          <w:szCs w:val="24"/>
        </w:rPr>
        <w:t>133 üncü</w:t>
      </w:r>
      <w:r w:rsidRPr="005C5D63">
        <w:rPr>
          <w:rFonts w:ascii="Times New Roman" w:hAnsi="Times New Roman"/>
          <w:sz w:val="24"/>
          <w:szCs w:val="24"/>
        </w:rPr>
        <w:t xml:space="preserve"> maddesinde belirtilen süreler </w:t>
      </w:r>
      <w:proofErr w:type="gramStart"/>
      <w:r w:rsidRPr="005C5D63">
        <w:rPr>
          <w:rFonts w:ascii="Times New Roman" w:hAnsi="Times New Roman"/>
          <w:sz w:val="24"/>
          <w:szCs w:val="24"/>
        </w:rPr>
        <w:t>dahilinde</w:t>
      </w:r>
      <w:proofErr w:type="gramEnd"/>
      <w:r w:rsidRPr="005C5D63">
        <w:rPr>
          <w:rFonts w:ascii="Times New Roman" w:hAnsi="Times New Roman"/>
          <w:sz w:val="24"/>
          <w:szCs w:val="24"/>
        </w:rPr>
        <w:t xml:space="preserve"> avans ödemesi olarak gerçekleştirilir. Ödemenin belirtilen süreler </w:t>
      </w:r>
      <w:proofErr w:type="gramStart"/>
      <w:r w:rsidRPr="005C5D63">
        <w:rPr>
          <w:rFonts w:ascii="Times New Roman" w:hAnsi="Times New Roman"/>
          <w:sz w:val="24"/>
          <w:szCs w:val="24"/>
        </w:rPr>
        <w:t>dahilinde</w:t>
      </w:r>
      <w:proofErr w:type="gramEnd"/>
      <w:r w:rsidRPr="005C5D63">
        <w:rPr>
          <w:rFonts w:ascii="Times New Roman" w:hAnsi="Times New Roman"/>
          <w:sz w:val="24"/>
          <w:szCs w:val="24"/>
        </w:rPr>
        <w:t xml:space="preserve"> yerine getirilmemesi durumunda Elektrik Piyasası Dengeleme ve Uzlaştırma Yönetmeliğinin </w:t>
      </w:r>
      <w:r w:rsidR="005C5D63" w:rsidRPr="005C5D63">
        <w:rPr>
          <w:rFonts w:ascii="Times New Roman" w:hAnsi="Times New Roman"/>
          <w:sz w:val="24"/>
          <w:szCs w:val="24"/>
        </w:rPr>
        <w:t>134 üncü</w:t>
      </w:r>
      <w:r w:rsidRPr="005C5D63">
        <w:rPr>
          <w:rFonts w:ascii="Times New Roman" w:hAnsi="Times New Roman"/>
          <w:sz w:val="24"/>
          <w:szCs w:val="24"/>
        </w:rPr>
        <w:t xml:space="preserve"> maddesinde yer alan hükümler uygulanır.</w:t>
      </w:r>
    </w:p>
    <w:p w:rsidR="001866AF" w:rsidRPr="009B2753" w:rsidRDefault="001866AF" w:rsidP="003167D1">
      <w:pPr>
        <w:tabs>
          <w:tab w:val="left" w:pos="540"/>
          <w:tab w:val="left" w:pos="5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ab/>
        <w:t>e) Her bir piyasa katılımcısı için bu fıkranın (c) bendi uyarınca hesaplanan tutarların aylık toplamı, fark tutarı olarak ilgili ayın faturasında gösterilir.</w:t>
      </w:r>
    </w:p>
    <w:p w:rsidR="001866AF" w:rsidRPr="009B2753" w:rsidRDefault="001866AF" w:rsidP="003167D1">
      <w:pPr>
        <w:tabs>
          <w:tab w:val="left" w:pos="-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1866AF" w:rsidP="003167D1">
      <w:pPr>
        <w:pStyle w:val="ListeParagraf1"/>
        <w:tabs>
          <w:tab w:val="left" w:pos="-4962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Yürütme</w:t>
      </w:r>
    </w:p>
    <w:p w:rsidR="001866AF" w:rsidRPr="009B2753" w:rsidRDefault="001866AF" w:rsidP="00144D1D">
      <w:pPr>
        <w:pStyle w:val="ListeParagraf1"/>
        <w:tabs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ab/>
      </w:r>
      <w:r w:rsidR="00CC07E8" w:rsidRPr="009B2753">
        <w:rPr>
          <w:rFonts w:ascii="Times New Roman" w:hAnsi="Times New Roman"/>
          <w:b/>
          <w:sz w:val="24"/>
          <w:szCs w:val="24"/>
        </w:rPr>
        <w:t>MADDE 5</w:t>
      </w:r>
      <w:r w:rsidRPr="009B2753">
        <w:rPr>
          <w:rFonts w:ascii="Times New Roman" w:hAnsi="Times New Roman"/>
          <w:b/>
          <w:sz w:val="24"/>
          <w:szCs w:val="24"/>
        </w:rPr>
        <w:t xml:space="preserve"> – </w:t>
      </w:r>
      <w:r w:rsidRPr="009B2753">
        <w:rPr>
          <w:rFonts w:ascii="Times New Roman" w:hAnsi="Times New Roman"/>
          <w:sz w:val="24"/>
          <w:szCs w:val="24"/>
        </w:rPr>
        <w:t>Bu Prosedür hükümlerini Başkan yürütür.</w:t>
      </w:r>
    </w:p>
    <w:p w:rsidR="001866AF" w:rsidRPr="009B2753" w:rsidRDefault="001866AF" w:rsidP="005B33FF">
      <w:pPr>
        <w:pStyle w:val="ListeParagraf1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690DA2" w:rsidP="00B947EC">
      <w:pPr>
        <w:pStyle w:val="ListeParagraf1"/>
        <w:tabs>
          <w:tab w:val="left" w:pos="4590"/>
          <w:tab w:val="center" w:pos="4896"/>
        </w:tabs>
        <w:spacing w:after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br w:type="page"/>
      </w:r>
      <w:r w:rsidR="001866AF" w:rsidRPr="009B2753">
        <w:rPr>
          <w:rFonts w:ascii="Times New Roman" w:hAnsi="Times New Roman"/>
          <w:b/>
          <w:sz w:val="24"/>
          <w:szCs w:val="24"/>
        </w:rPr>
        <w:lastRenderedPageBreak/>
        <w:t>EK</w:t>
      </w:r>
    </w:p>
    <w:p w:rsidR="001866AF" w:rsidRPr="009B2753" w:rsidRDefault="001866AF" w:rsidP="00B40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 xml:space="preserve">Fark </w:t>
      </w:r>
      <w:r w:rsidR="00690DA2" w:rsidRPr="009B2753">
        <w:rPr>
          <w:rFonts w:ascii="Times New Roman" w:hAnsi="Times New Roman"/>
          <w:b/>
          <w:sz w:val="24"/>
          <w:szCs w:val="24"/>
        </w:rPr>
        <w:t>Tutarının</w:t>
      </w:r>
      <w:r w:rsidRPr="009B2753">
        <w:rPr>
          <w:rFonts w:ascii="Times New Roman" w:hAnsi="Times New Roman"/>
          <w:b/>
          <w:sz w:val="24"/>
          <w:szCs w:val="24"/>
        </w:rPr>
        <w:t xml:space="preserve"> Hesaplanmasına İlişkin Örnek Senaryo</w:t>
      </w:r>
    </w:p>
    <w:p w:rsidR="001866AF" w:rsidRPr="009B2753" w:rsidRDefault="001866AF" w:rsidP="00B40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6AF" w:rsidRPr="009B2753" w:rsidRDefault="001866AF" w:rsidP="00B40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 xml:space="preserve">Bu örnek senaryo kapsamında </w:t>
      </w:r>
      <w:r w:rsidR="00B947EC" w:rsidRPr="009B2753">
        <w:rPr>
          <w:rFonts w:ascii="Times New Roman" w:hAnsi="Times New Roman"/>
          <w:sz w:val="24"/>
          <w:szCs w:val="24"/>
        </w:rPr>
        <w:t xml:space="preserve">gün öncesi piyasası </w:t>
      </w:r>
      <w:r w:rsidRPr="009B2753">
        <w:rPr>
          <w:rFonts w:ascii="Times New Roman" w:hAnsi="Times New Roman"/>
          <w:sz w:val="24"/>
          <w:szCs w:val="24"/>
        </w:rPr>
        <w:t xml:space="preserve">yazılımında blok </w:t>
      </w:r>
      <w:r w:rsidR="00F1116D" w:rsidRPr="009B2753">
        <w:rPr>
          <w:rFonts w:ascii="Times New Roman" w:hAnsi="Times New Roman"/>
          <w:sz w:val="24"/>
          <w:szCs w:val="24"/>
        </w:rPr>
        <w:t xml:space="preserve">satış </w:t>
      </w:r>
      <w:r w:rsidRPr="009B2753">
        <w:rPr>
          <w:rFonts w:ascii="Times New Roman" w:hAnsi="Times New Roman"/>
          <w:sz w:val="24"/>
          <w:szCs w:val="24"/>
        </w:rPr>
        <w:t>tekliflerin etkisi incelenmektedir.</w:t>
      </w:r>
    </w:p>
    <w:p w:rsidR="001866AF" w:rsidRPr="009B2753" w:rsidRDefault="001866AF" w:rsidP="00B40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B947EC" w:rsidP="00F11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 xml:space="preserve">Gün öncesi piyasası </w:t>
      </w:r>
      <w:r w:rsidR="00F1116D" w:rsidRPr="009B2753">
        <w:rPr>
          <w:rFonts w:ascii="Times New Roman" w:hAnsi="Times New Roman"/>
          <w:sz w:val="24"/>
          <w:szCs w:val="24"/>
        </w:rPr>
        <w:t>yazılımı toplam piyasa takas maliyetini minimize edecek şekilde</w:t>
      </w:r>
      <w:r w:rsidR="001866AF" w:rsidRPr="009B2753">
        <w:rPr>
          <w:rFonts w:ascii="Times New Roman" w:hAnsi="Times New Roman"/>
          <w:sz w:val="24"/>
          <w:szCs w:val="24"/>
        </w:rPr>
        <w:t xml:space="preserve"> piyasa takas fiyat</w:t>
      </w:r>
      <w:r w:rsidR="00F1116D" w:rsidRPr="009B2753">
        <w:rPr>
          <w:rFonts w:ascii="Times New Roman" w:hAnsi="Times New Roman"/>
          <w:sz w:val="24"/>
          <w:szCs w:val="24"/>
        </w:rPr>
        <w:t>lar</w:t>
      </w:r>
      <w:r w:rsidR="001866AF" w:rsidRPr="009B2753">
        <w:rPr>
          <w:rFonts w:ascii="Times New Roman" w:hAnsi="Times New Roman"/>
          <w:sz w:val="24"/>
          <w:szCs w:val="24"/>
        </w:rPr>
        <w:t>ı</w:t>
      </w:r>
      <w:r w:rsidRPr="009B2753">
        <w:rPr>
          <w:rFonts w:ascii="Times New Roman" w:hAnsi="Times New Roman"/>
          <w:sz w:val="24"/>
          <w:szCs w:val="24"/>
        </w:rPr>
        <w:t>nı</w:t>
      </w:r>
      <w:r w:rsidR="001866AF" w:rsidRPr="009B2753">
        <w:rPr>
          <w:rFonts w:ascii="Times New Roman" w:hAnsi="Times New Roman"/>
          <w:sz w:val="24"/>
          <w:szCs w:val="24"/>
        </w:rPr>
        <w:t xml:space="preserve"> ve </w:t>
      </w:r>
      <w:r w:rsidR="00F1116D" w:rsidRPr="009B2753">
        <w:rPr>
          <w:rFonts w:ascii="Times New Roman" w:hAnsi="Times New Roman"/>
          <w:sz w:val="24"/>
          <w:szCs w:val="24"/>
        </w:rPr>
        <w:t xml:space="preserve">işlem </w:t>
      </w:r>
      <w:r w:rsidR="001866AF" w:rsidRPr="009B2753">
        <w:rPr>
          <w:rFonts w:ascii="Times New Roman" w:hAnsi="Times New Roman"/>
          <w:sz w:val="24"/>
          <w:szCs w:val="24"/>
        </w:rPr>
        <w:t>miktar</w:t>
      </w:r>
      <w:r w:rsidR="00F1116D" w:rsidRPr="009B2753">
        <w:rPr>
          <w:rFonts w:ascii="Times New Roman" w:hAnsi="Times New Roman"/>
          <w:sz w:val="24"/>
          <w:szCs w:val="24"/>
        </w:rPr>
        <w:t>lar</w:t>
      </w:r>
      <w:r w:rsidR="001866AF" w:rsidRPr="009B2753">
        <w:rPr>
          <w:rFonts w:ascii="Times New Roman" w:hAnsi="Times New Roman"/>
          <w:sz w:val="24"/>
          <w:szCs w:val="24"/>
        </w:rPr>
        <w:t>ı belirle</w:t>
      </w:r>
      <w:r w:rsidR="00F1116D" w:rsidRPr="009B2753">
        <w:rPr>
          <w:rFonts w:ascii="Times New Roman" w:hAnsi="Times New Roman"/>
          <w:sz w:val="24"/>
          <w:szCs w:val="24"/>
        </w:rPr>
        <w:t>mektedir.</w:t>
      </w:r>
    </w:p>
    <w:p w:rsidR="001866AF" w:rsidRPr="009B2753" w:rsidRDefault="001866AF" w:rsidP="00513F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5820" w:rsidRPr="009B2753" w:rsidRDefault="007A5820" w:rsidP="00B40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>Blok satış teklifi, kapsadığı saatlerin ortalama fiyatını kendi teklif fiyatının altına düşürürse teklif fiyatından, düşürmezse</w:t>
      </w:r>
      <w:r w:rsidR="00B947EC" w:rsidRPr="009B2753">
        <w:rPr>
          <w:rFonts w:ascii="Times New Roman" w:hAnsi="Times New Roman"/>
          <w:sz w:val="24"/>
          <w:szCs w:val="24"/>
        </w:rPr>
        <w:t xml:space="preserve"> ortalama fiyattan işlem görür. </w:t>
      </w:r>
      <w:r w:rsidRPr="009B2753">
        <w:rPr>
          <w:rFonts w:ascii="Times New Roman" w:hAnsi="Times New Roman"/>
          <w:sz w:val="24"/>
          <w:szCs w:val="24"/>
        </w:rPr>
        <w:t>Blok alış teklifi, kapsadığı saatlerin ortalama fiyatını kendi teklif fiyatının üstüne çıkarırsa teklif fiyatından, çıkarmazsa ortalama fiyattan işlem görür.</w:t>
      </w:r>
      <w:r w:rsidR="00B947EC" w:rsidRPr="009B2753">
        <w:rPr>
          <w:rFonts w:ascii="Times New Roman" w:hAnsi="Times New Roman"/>
          <w:sz w:val="24"/>
          <w:szCs w:val="24"/>
        </w:rPr>
        <w:t xml:space="preserve"> </w:t>
      </w:r>
      <w:r w:rsidR="00340294" w:rsidRPr="009B2753">
        <w:rPr>
          <w:rFonts w:ascii="Times New Roman" w:hAnsi="Times New Roman"/>
          <w:sz w:val="24"/>
          <w:szCs w:val="24"/>
        </w:rPr>
        <w:t xml:space="preserve">Dolayısıyla, diğer katılımcılar </w:t>
      </w:r>
      <w:proofErr w:type="spellStart"/>
      <w:r w:rsidR="00340294" w:rsidRPr="009B2753">
        <w:rPr>
          <w:rFonts w:ascii="Times New Roman" w:hAnsi="Times New Roman"/>
          <w:sz w:val="24"/>
          <w:szCs w:val="24"/>
        </w:rPr>
        <w:t>PTF’den</w:t>
      </w:r>
      <w:proofErr w:type="spellEnd"/>
      <w:r w:rsidR="00340294" w:rsidRPr="009B2753">
        <w:rPr>
          <w:rFonts w:ascii="Times New Roman" w:hAnsi="Times New Roman"/>
          <w:sz w:val="24"/>
          <w:szCs w:val="24"/>
        </w:rPr>
        <w:t xml:space="preserve"> alım satım yaparken blok teklif sahibi </w:t>
      </w:r>
      <w:proofErr w:type="spellStart"/>
      <w:r w:rsidR="00340294" w:rsidRPr="009B2753">
        <w:rPr>
          <w:rFonts w:ascii="Times New Roman" w:hAnsi="Times New Roman"/>
          <w:sz w:val="24"/>
          <w:szCs w:val="24"/>
        </w:rPr>
        <w:t>PTF’den</w:t>
      </w:r>
      <w:proofErr w:type="spellEnd"/>
      <w:r w:rsidR="00340294" w:rsidRPr="009B2753">
        <w:rPr>
          <w:rFonts w:ascii="Times New Roman" w:hAnsi="Times New Roman"/>
          <w:sz w:val="24"/>
          <w:szCs w:val="24"/>
        </w:rPr>
        <w:t xml:space="preserve"> farklı olan kendi fiyatından alım satım yapar ve bir fark oluşur. </w:t>
      </w:r>
      <w:r w:rsidR="00CC5D7C" w:rsidRPr="009B2753">
        <w:rPr>
          <w:rFonts w:ascii="Times New Roman" w:hAnsi="Times New Roman"/>
          <w:sz w:val="24"/>
          <w:szCs w:val="24"/>
        </w:rPr>
        <w:t xml:space="preserve">Bu </w:t>
      </w:r>
      <w:r w:rsidR="00340294" w:rsidRPr="009B2753">
        <w:rPr>
          <w:rFonts w:ascii="Times New Roman" w:hAnsi="Times New Roman"/>
          <w:sz w:val="24"/>
          <w:szCs w:val="24"/>
        </w:rPr>
        <w:t xml:space="preserve">fark, </w:t>
      </w:r>
      <w:r w:rsidR="00B947EC" w:rsidRPr="009B2753">
        <w:rPr>
          <w:rFonts w:ascii="Times New Roman" w:hAnsi="Times New Roman"/>
          <w:sz w:val="24"/>
          <w:szCs w:val="24"/>
        </w:rPr>
        <w:t xml:space="preserve">yuvarlama nedeniyle oluşan farkla birlikte gün öncesi piyasası </w:t>
      </w:r>
      <w:r w:rsidR="00340294" w:rsidRPr="009B2753">
        <w:rPr>
          <w:rFonts w:ascii="Times New Roman" w:hAnsi="Times New Roman"/>
          <w:sz w:val="24"/>
          <w:szCs w:val="24"/>
        </w:rPr>
        <w:t>katılımcıların</w:t>
      </w:r>
      <w:r w:rsidR="00B947EC" w:rsidRPr="009B2753">
        <w:rPr>
          <w:rFonts w:ascii="Times New Roman" w:hAnsi="Times New Roman"/>
          <w:sz w:val="24"/>
          <w:szCs w:val="24"/>
        </w:rPr>
        <w:t>a</w:t>
      </w:r>
      <w:r w:rsidR="00340294" w:rsidRPr="009B2753">
        <w:rPr>
          <w:rFonts w:ascii="Times New Roman" w:hAnsi="Times New Roman"/>
          <w:sz w:val="24"/>
          <w:szCs w:val="24"/>
        </w:rPr>
        <w:t xml:space="preserve"> </w:t>
      </w:r>
      <w:r w:rsidR="00B947EC" w:rsidRPr="009B2753">
        <w:rPr>
          <w:rFonts w:ascii="Times New Roman" w:hAnsi="Times New Roman"/>
          <w:sz w:val="24"/>
          <w:szCs w:val="24"/>
        </w:rPr>
        <w:t>yansıtılır.</w:t>
      </w:r>
    </w:p>
    <w:p w:rsidR="005E12F0" w:rsidRPr="009B2753" w:rsidRDefault="005E12F0" w:rsidP="00B40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1866AF" w:rsidP="00B405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Örnek Senaryo</w:t>
      </w:r>
    </w:p>
    <w:p w:rsidR="001866AF" w:rsidRPr="009B2753" w:rsidRDefault="001866AF" w:rsidP="00B40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CF35BF" w:rsidP="00CF35BF">
      <w:pPr>
        <w:pStyle w:val="ListeParagr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 xml:space="preserve">Tablo 1’de 842 </w:t>
      </w:r>
      <w:proofErr w:type="spellStart"/>
      <w:r w:rsidRPr="009B2753">
        <w:rPr>
          <w:rFonts w:ascii="Times New Roman" w:hAnsi="Times New Roman"/>
          <w:sz w:val="24"/>
          <w:szCs w:val="24"/>
        </w:rPr>
        <w:t>MWh’lik</w:t>
      </w:r>
      <w:proofErr w:type="spellEnd"/>
      <w:r w:rsidRPr="009B2753">
        <w:rPr>
          <w:rFonts w:ascii="Times New Roman" w:hAnsi="Times New Roman"/>
          <w:sz w:val="24"/>
          <w:szCs w:val="24"/>
        </w:rPr>
        <w:t xml:space="preserve"> bir blok satış teklifinin kabul edilmediği ve kabul edildiği durumda oluşan piyasa takas fiyatları ve işlem miktarları görülmektedir.</w:t>
      </w:r>
    </w:p>
    <w:p w:rsidR="00DC5CD0" w:rsidRPr="009B2753" w:rsidRDefault="00DC5CD0" w:rsidP="00CF35BF">
      <w:pPr>
        <w:pStyle w:val="ListeParagr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876"/>
        <w:gridCol w:w="876"/>
        <w:gridCol w:w="1116"/>
        <w:gridCol w:w="1116"/>
      </w:tblGrid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PTF0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PTF1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İM0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İM1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139.99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170.00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4568.0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4510.1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109.99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153.99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4212.5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4064.5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02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75.00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131.99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3881.6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3666.7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64.00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109.99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3893.1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3433.6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63.99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100.00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3986.3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3419.4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64.00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115.00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4031.9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3643.9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91.01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132.00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4108.2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3974.6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131.99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169.99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4406.9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4208.3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164.69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180.37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5252.0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5111.4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09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163.99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180.38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5404.0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5261.9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164.00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180.45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5370.1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5234.9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150.01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180.38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5249.3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5109.8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149.00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179.01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5344.5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5129.3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140.00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165.00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5311.8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5071.1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148.99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178.00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5546.5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5337.2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150.01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180.01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5531.5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5428.2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163.99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180.37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6027.7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5900.1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164.00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180.37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6226.0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6029.9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150.00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179.01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6239.0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6033.8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149.00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179.00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5951.3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5720.0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149.00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179.00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5949.8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5724.6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143.00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170.00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5802.5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5586.7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179.79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184.99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6409.8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6265.3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174.68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180.38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5884.6</w:t>
            </w:r>
          </w:p>
        </w:tc>
        <w:tc>
          <w:tcPr>
            <w:tcW w:w="0" w:type="auto"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color w:val="000000"/>
                <w:sz w:val="24"/>
                <w:szCs w:val="24"/>
                <w:lang w:eastAsia="tr-TR"/>
              </w:rPr>
              <w:t>5763.3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Ortalama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135.17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164.15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5191.2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4984.5</w:t>
            </w:r>
          </w:p>
        </w:tc>
      </w:tr>
      <w:tr w:rsidR="00E828E4" w:rsidRPr="009B2753" w:rsidTr="009C5D53">
        <w:trPr>
          <w:trHeight w:val="255"/>
        </w:trPr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124588.9</w:t>
            </w:r>
          </w:p>
        </w:tc>
        <w:tc>
          <w:tcPr>
            <w:tcW w:w="0" w:type="auto"/>
            <w:noWrap/>
            <w:vAlign w:val="center"/>
            <w:hideMark/>
          </w:tcPr>
          <w:p w:rsidR="00E828E4" w:rsidRPr="009B2753" w:rsidRDefault="00E828E4" w:rsidP="009C5D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27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119628.6</w:t>
            </w:r>
          </w:p>
        </w:tc>
      </w:tr>
    </w:tbl>
    <w:p w:rsidR="00DC5CD0" w:rsidRPr="009B2753" w:rsidRDefault="00DC5CD0" w:rsidP="00CF35BF">
      <w:pPr>
        <w:pStyle w:val="ListeParagr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724357" w:rsidP="00A03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lastRenderedPageBreak/>
        <w:t xml:space="preserve">Blok teklif sahibine kendi fiyatından ödeme yapılacağından blok sahibi, </w:t>
      </w:r>
      <w:r w:rsidR="00E0345F" w:rsidRPr="009B2753">
        <w:rPr>
          <w:rFonts w:ascii="Times New Roman" w:hAnsi="Times New Roman"/>
          <w:sz w:val="24"/>
          <w:szCs w:val="24"/>
        </w:rPr>
        <w:t>24∙(</w:t>
      </w:r>
      <w:r w:rsidRPr="009B2753">
        <w:rPr>
          <w:rFonts w:ascii="Times New Roman" w:hAnsi="Times New Roman"/>
          <w:sz w:val="24"/>
          <w:szCs w:val="24"/>
        </w:rPr>
        <w:t xml:space="preserve">150 TL/MWh∙842 </w:t>
      </w:r>
      <w:proofErr w:type="spellStart"/>
      <w:r w:rsidRPr="009B2753">
        <w:rPr>
          <w:rFonts w:ascii="Times New Roman" w:hAnsi="Times New Roman"/>
          <w:sz w:val="24"/>
          <w:szCs w:val="24"/>
        </w:rPr>
        <w:t>MWh</w:t>
      </w:r>
      <w:proofErr w:type="spellEnd"/>
      <w:r w:rsidR="00E0345F" w:rsidRPr="009B2753">
        <w:rPr>
          <w:rFonts w:ascii="Times New Roman" w:hAnsi="Times New Roman"/>
          <w:sz w:val="24"/>
          <w:szCs w:val="24"/>
        </w:rPr>
        <w:t>)</w:t>
      </w:r>
      <w:r w:rsidRPr="009B2753">
        <w:rPr>
          <w:rFonts w:ascii="Times New Roman" w:hAnsi="Times New Roman"/>
          <w:sz w:val="24"/>
          <w:szCs w:val="24"/>
        </w:rPr>
        <w:t xml:space="preserve"> = </w:t>
      </w:r>
      <w:r w:rsidR="00775E4E" w:rsidRPr="009B2753">
        <w:rPr>
          <w:rFonts w:ascii="Times New Roman" w:hAnsi="Times New Roman"/>
          <w:sz w:val="24"/>
          <w:szCs w:val="24"/>
        </w:rPr>
        <w:t xml:space="preserve">3.031.200 </w:t>
      </w:r>
      <w:r w:rsidRPr="009B2753">
        <w:rPr>
          <w:rFonts w:ascii="Times New Roman" w:hAnsi="Times New Roman"/>
          <w:sz w:val="24"/>
          <w:szCs w:val="24"/>
        </w:rPr>
        <w:t>TL alacaktır</w:t>
      </w:r>
      <w:r w:rsidR="00262EFA" w:rsidRPr="009B2753">
        <w:rPr>
          <w:rFonts w:ascii="Times New Roman" w:hAnsi="Times New Roman"/>
          <w:sz w:val="24"/>
          <w:szCs w:val="24"/>
        </w:rPr>
        <w:t>.</w:t>
      </w:r>
      <w:r w:rsidR="00E0345F" w:rsidRPr="009B2753">
        <w:rPr>
          <w:rFonts w:ascii="Times New Roman" w:hAnsi="Times New Roman"/>
          <w:sz w:val="24"/>
          <w:szCs w:val="24"/>
        </w:rPr>
        <w:t xml:space="preserve"> Fakat diğer piyasa</w:t>
      </w:r>
      <w:r w:rsidR="00D56819" w:rsidRPr="009B2753">
        <w:rPr>
          <w:rFonts w:ascii="Times New Roman" w:hAnsi="Times New Roman"/>
          <w:sz w:val="24"/>
          <w:szCs w:val="24"/>
        </w:rPr>
        <w:t xml:space="preserve"> katılımcıları bu elektrik için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24</m:t>
            </m:r>
          </m:sup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PTF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×842</m:t>
            </m:r>
          </m:e>
        </m:nary>
      </m:oMath>
      <w:r w:rsidR="00D56819" w:rsidRPr="009B2753">
        <w:rPr>
          <w:rFonts w:ascii="Times New Roman" w:hAnsi="Times New Roman"/>
          <w:sz w:val="24"/>
          <w:szCs w:val="24"/>
        </w:rPr>
        <w:t xml:space="preserve"> </w:t>
      </w:r>
      <w:r w:rsidR="00E0345F" w:rsidRPr="009B2753">
        <w:rPr>
          <w:rFonts w:ascii="Times New Roman" w:hAnsi="Times New Roman"/>
          <w:sz w:val="24"/>
          <w:szCs w:val="24"/>
        </w:rPr>
        <w:t xml:space="preserve">= </w:t>
      </w:r>
      <w:r w:rsidR="001D3FF4" w:rsidRPr="009B2753">
        <w:rPr>
          <w:rFonts w:ascii="Times New Roman" w:hAnsi="Times New Roman"/>
          <w:sz w:val="24"/>
          <w:szCs w:val="24"/>
        </w:rPr>
        <w:t>2</w:t>
      </w:r>
      <w:r w:rsidR="00BE275A" w:rsidRPr="009B2753">
        <w:rPr>
          <w:rFonts w:ascii="Times New Roman" w:hAnsi="Times New Roman"/>
          <w:sz w:val="24"/>
          <w:szCs w:val="24"/>
        </w:rPr>
        <w:t>.</w:t>
      </w:r>
      <w:r w:rsidR="001D3FF4" w:rsidRPr="009B2753">
        <w:rPr>
          <w:rFonts w:ascii="Times New Roman" w:hAnsi="Times New Roman"/>
          <w:sz w:val="24"/>
          <w:szCs w:val="24"/>
        </w:rPr>
        <w:t>731</w:t>
      </w:r>
      <w:r w:rsidR="00BE275A" w:rsidRPr="009B2753">
        <w:rPr>
          <w:rFonts w:ascii="Times New Roman" w:hAnsi="Times New Roman"/>
          <w:sz w:val="24"/>
          <w:szCs w:val="24"/>
        </w:rPr>
        <w:t>.</w:t>
      </w:r>
      <w:r w:rsidR="001D3FF4" w:rsidRPr="009B2753">
        <w:rPr>
          <w:rFonts w:ascii="Times New Roman" w:hAnsi="Times New Roman"/>
          <w:sz w:val="24"/>
          <w:szCs w:val="24"/>
        </w:rPr>
        <w:t>549</w:t>
      </w:r>
      <w:r w:rsidR="00BE275A" w:rsidRPr="009B2753">
        <w:rPr>
          <w:rFonts w:ascii="Times New Roman" w:hAnsi="Times New Roman"/>
          <w:sz w:val="24"/>
          <w:szCs w:val="24"/>
        </w:rPr>
        <w:t>,</w:t>
      </w:r>
      <w:r w:rsidR="001D3FF4" w:rsidRPr="009B2753">
        <w:rPr>
          <w:rFonts w:ascii="Times New Roman" w:hAnsi="Times New Roman"/>
          <w:sz w:val="24"/>
          <w:szCs w:val="24"/>
        </w:rPr>
        <w:t>04</w:t>
      </w:r>
      <w:r w:rsidR="00E0345F" w:rsidRPr="009B2753">
        <w:rPr>
          <w:rFonts w:ascii="Times New Roman" w:hAnsi="Times New Roman"/>
          <w:sz w:val="24"/>
          <w:szCs w:val="24"/>
        </w:rPr>
        <w:t xml:space="preserve"> TL ödediklerinden aradaki </w:t>
      </w:r>
      <w:r w:rsidR="001D3FF4" w:rsidRPr="009B2753">
        <w:rPr>
          <w:rFonts w:ascii="Times New Roman" w:hAnsi="Times New Roman"/>
          <w:sz w:val="24"/>
          <w:szCs w:val="24"/>
        </w:rPr>
        <w:t>299</w:t>
      </w:r>
      <w:r w:rsidR="000F3114" w:rsidRPr="009B2753">
        <w:rPr>
          <w:rFonts w:ascii="Times New Roman" w:hAnsi="Times New Roman"/>
          <w:sz w:val="24"/>
          <w:szCs w:val="24"/>
        </w:rPr>
        <w:t>.650,</w:t>
      </w:r>
      <w:r w:rsidR="001D3FF4" w:rsidRPr="009B2753">
        <w:rPr>
          <w:rFonts w:ascii="Times New Roman" w:hAnsi="Times New Roman"/>
          <w:sz w:val="24"/>
          <w:szCs w:val="24"/>
        </w:rPr>
        <w:t xml:space="preserve">96 </w:t>
      </w:r>
      <w:r w:rsidR="00E0345F" w:rsidRPr="009B2753">
        <w:rPr>
          <w:rFonts w:ascii="Times New Roman" w:hAnsi="Times New Roman"/>
          <w:sz w:val="24"/>
          <w:szCs w:val="24"/>
        </w:rPr>
        <w:t>TL farkı, Piyasa İşletmecisi piyasa katılımcılarından toplar.</w:t>
      </w:r>
    </w:p>
    <w:p w:rsidR="00BF4EFF" w:rsidRPr="009B2753" w:rsidRDefault="00BF4EFF" w:rsidP="00A03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6AF" w:rsidRPr="009B2753" w:rsidRDefault="001866AF" w:rsidP="004166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2753">
        <w:rPr>
          <w:rFonts w:ascii="Times New Roman" w:hAnsi="Times New Roman"/>
          <w:b/>
          <w:sz w:val="24"/>
          <w:szCs w:val="24"/>
        </w:rPr>
        <w:t>Fark Tutarının Piyasa Katılımcılarına Yansıtılması</w:t>
      </w:r>
    </w:p>
    <w:p w:rsidR="001866AF" w:rsidRPr="009B2753" w:rsidRDefault="001866AF" w:rsidP="00416620">
      <w:pPr>
        <w:tabs>
          <w:tab w:val="left" w:pos="-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345F" w:rsidRPr="009B2753" w:rsidRDefault="001866AF" w:rsidP="009903B0">
      <w:pPr>
        <w:tabs>
          <w:tab w:val="left" w:pos="-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753">
        <w:rPr>
          <w:rFonts w:ascii="Times New Roman" w:hAnsi="Times New Roman"/>
          <w:sz w:val="24"/>
          <w:szCs w:val="24"/>
        </w:rPr>
        <w:t xml:space="preserve">Yukarıda yer alan örnek hesaplama neticesinde </w:t>
      </w:r>
      <w:r w:rsidR="006872AE" w:rsidRPr="009B2753">
        <w:rPr>
          <w:rFonts w:ascii="Times New Roman" w:hAnsi="Times New Roman"/>
          <w:sz w:val="24"/>
          <w:szCs w:val="24"/>
        </w:rPr>
        <w:t xml:space="preserve">gün öncesi piyasasına </w:t>
      </w:r>
      <w:r w:rsidRPr="009B2753">
        <w:rPr>
          <w:rFonts w:ascii="Times New Roman" w:hAnsi="Times New Roman"/>
          <w:sz w:val="24"/>
          <w:szCs w:val="24"/>
        </w:rPr>
        <w:t xml:space="preserve">katılımcıları tarafından ödenmesi gereken fark tutarı </w:t>
      </w:r>
      <w:r w:rsidR="00034F61" w:rsidRPr="009B2753">
        <w:rPr>
          <w:rFonts w:ascii="Times New Roman" w:hAnsi="Times New Roman"/>
          <w:sz w:val="24"/>
          <w:szCs w:val="24"/>
        </w:rPr>
        <w:t>299.</w:t>
      </w:r>
      <w:r w:rsidR="0050073F" w:rsidRPr="009B2753">
        <w:rPr>
          <w:rFonts w:ascii="Times New Roman" w:hAnsi="Times New Roman"/>
          <w:sz w:val="24"/>
          <w:szCs w:val="24"/>
        </w:rPr>
        <w:t>65</w:t>
      </w:r>
      <w:r w:rsidR="00034F61" w:rsidRPr="009B2753">
        <w:rPr>
          <w:rFonts w:ascii="Times New Roman" w:hAnsi="Times New Roman"/>
          <w:sz w:val="24"/>
          <w:szCs w:val="24"/>
        </w:rPr>
        <w:t>0,96</w:t>
      </w:r>
      <w:r w:rsidRPr="009B2753">
        <w:rPr>
          <w:rFonts w:ascii="Times New Roman" w:hAnsi="Times New Roman"/>
          <w:sz w:val="24"/>
          <w:szCs w:val="24"/>
        </w:rPr>
        <w:t xml:space="preserve"> TL</w:t>
      </w:r>
      <w:r w:rsidR="0050073F" w:rsidRPr="009B2753">
        <w:rPr>
          <w:rFonts w:ascii="Times New Roman" w:hAnsi="Times New Roman"/>
          <w:sz w:val="24"/>
          <w:szCs w:val="24"/>
        </w:rPr>
        <w:t>’dir</w:t>
      </w:r>
      <w:r w:rsidRPr="009B2753">
        <w:rPr>
          <w:rFonts w:ascii="Times New Roman" w:hAnsi="Times New Roman"/>
          <w:sz w:val="24"/>
          <w:szCs w:val="24"/>
        </w:rPr>
        <w:t>.</w:t>
      </w:r>
      <w:r w:rsidR="0050073F" w:rsidRPr="009B2753">
        <w:rPr>
          <w:rFonts w:ascii="Times New Roman" w:hAnsi="Times New Roman"/>
          <w:sz w:val="24"/>
          <w:szCs w:val="24"/>
        </w:rPr>
        <w:t xml:space="preserve"> Buna göre bir A katılımcısı günlük toplam 1500 </w:t>
      </w:r>
      <w:proofErr w:type="spellStart"/>
      <w:r w:rsidR="0050073F" w:rsidRPr="009B2753">
        <w:rPr>
          <w:rFonts w:ascii="Times New Roman" w:hAnsi="Times New Roman"/>
          <w:sz w:val="24"/>
          <w:szCs w:val="24"/>
        </w:rPr>
        <w:t>MWh</w:t>
      </w:r>
      <w:proofErr w:type="spellEnd"/>
      <w:r w:rsidR="0050073F" w:rsidRPr="009B2753">
        <w:rPr>
          <w:rFonts w:ascii="Times New Roman" w:hAnsi="Times New Roman"/>
          <w:sz w:val="24"/>
          <w:szCs w:val="24"/>
        </w:rPr>
        <w:t xml:space="preserve"> satış (veya alış) yapmışsa kendisine yansıyacak fark tutarı (1500/(2*</w:t>
      </w:r>
      <w:proofErr w:type="gramStart"/>
      <w:r w:rsidR="0050073F" w:rsidRPr="009B2753">
        <w:rPr>
          <w:rFonts w:ascii="Times New Roman" w:hAnsi="Times New Roman"/>
          <w:sz w:val="24"/>
          <w:szCs w:val="24"/>
        </w:rPr>
        <w:t>124588.9</w:t>
      </w:r>
      <w:proofErr w:type="gramEnd"/>
      <w:r w:rsidR="00034F61" w:rsidRPr="009B2753">
        <w:rPr>
          <w:rFonts w:ascii="Times New Roman" w:hAnsi="Times New Roman"/>
          <w:sz w:val="24"/>
          <w:szCs w:val="24"/>
        </w:rPr>
        <w:t>))∙299.650,96</w:t>
      </w:r>
      <w:r w:rsidR="0050073F" w:rsidRPr="009B2753">
        <w:rPr>
          <w:rFonts w:ascii="Times New Roman" w:hAnsi="Times New Roman"/>
          <w:sz w:val="24"/>
          <w:szCs w:val="24"/>
        </w:rPr>
        <w:t xml:space="preserve"> = 1803,8</w:t>
      </w:r>
      <w:r w:rsidR="009B79FC" w:rsidRPr="009B2753">
        <w:rPr>
          <w:rFonts w:ascii="Times New Roman" w:hAnsi="Times New Roman"/>
          <w:sz w:val="24"/>
          <w:szCs w:val="24"/>
        </w:rPr>
        <w:t>4</w:t>
      </w:r>
      <w:r w:rsidR="0050073F" w:rsidRPr="009B2753">
        <w:rPr>
          <w:rFonts w:ascii="Times New Roman" w:hAnsi="Times New Roman"/>
          <w:sz w:val="24"/>
          <w:szCs w:val="24"/>
        </w:rPr>
        <w:t xml:space="preserve"> TL’dir.</w:t>
      </w:r>
    </w:p>
    <w:sectPr w:rsidR="00E0345F" w:rsidRPr="009B2753" w:rsidSect="00F86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DA" w:rsidRDefault="006F44DA" w:rsidP="00161DE3">
      <w:pPr>
        <w:spacing w:after="0" w:line="240" w:lineRule="auto"/>
      </w:pPr>
      <w:r>
        <w:separator/>
      </w:r>
    </w:p>
  </w:endnote>
  <w:endnote w:type="continuationSeparator" w:id="0">
    <w:p w:rsidR="006F44DA" w:rsidRDefault="006F44DA" w:rsidP="0016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A5" w:rsidRDefault="00AE48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A5" w:rsidRDefault="00AE48A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A5" w:rsidRDefault="00AE48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DA" w:rsidRDefault="006F44DA" w:rsidP="00161DE3">
      <w:pPr>
        <w:spacing w:after="0" w:line="240" w:lineRule="auto"/>
      </w:pPr>
      <w:r>
        <w:separator/>
      </w:r>
    </w:p>
  </w:footnote>
  <w:footnote w:type="continuationSeparator" w:id="0">
    <w:p w:rsidR="006F44DA" w:rsidRDefault="006F44DA" w:rsidP="0016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A5" w:rsidRDefault="00AE48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182485"/>
      <w:docPartObj>
        <w:docPartGallery w:val="Watermarks"/>
        <w:docPartUnique/>
      </w:docPartObj>
    </w:sdtPr>
    <w:sdtContent>
      <w:p w:rsidR="00AE48A5" w:rsidRDefault="00AE48A5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ASLA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A5" w:rsidRDefault="00AE48A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70E2"/>
    <w:multiLevelType w:val="hybridMultilevel"/>
    <w:tmpl w:val="CEFC2C12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2D8C019C"/>
    <w:multiLevelType w:val="hybridMultilevel"/>
    <w:tmpl w:val="BF7EBAB8"/>
    <w:lvl w:ilvl="0" w:tplc="6526FF5C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815F49"/>
    <w:multiLevelType w:val="hybridMultilevel"/>
    <w:tmpl w:val="D65649F6"/>
    <w:lvl w:ilvl="0" w:tplc="0E46CEE6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0673638"/>
    <w:multiLevelType w:val="hybridMultilevel"/>
    <w:tmpl w:val="E1946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6FF5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E76BA">
      <w:start w:val="2"/>
      <w:numFmt w:val="decimal"/>
      <w:lvlText w:val="(%4)"/>
      <w:lvlJc w:val="left"/>
      <w:pPr>
        <w:ind w:left="2880" w:hanging="360"/>
      </w:pPr>
      <w:rPr>
        <w:rFonts w:cs="Times New Roman" w:hint="default"/>
        <w:color w:val="auto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00F80"/>
    <w:multiLevelType w:val="hybridMultilevel"/>
    <w:tmpl w:val="4D90E0BE"/>
    <w:lvl w:ilvl="0" w:tplc="BED69E1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87539BA"/>
    <w:multiLevelType w:val="hybridMultilevel"/>
    <w:tmpl w:val="09C62B24"/>
    <w:lvl w:ilvl="0" w:tplc="84F08DD8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E145E05"/>
    <w:multiLevelType w:val="hybridMultilevel"/>
    <w:tmpl w:val="2C02B232"/>
    <w:lvl w:ilvl="0" w:tplc="AE14E49E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47E73F3"/>
    <w:multiLevelType w:val="hybridMultilevel"/>
    <w:tmpl w:val="84A2E4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DE218C"/>
    <w:multiLevelType w:val="hybridMultilevel"/>
    <w:tmpl w:val="D876DEA0"/>
    <w:lvl w:ilvl="0" w:tplc="68E0F028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717A1CBB"/>
    <w:multiLevelType w:val="hybridMultilevel"/>
    <w:tmpl w:val="DD98C2F2"/>
    <w:lvl w:ilvl="0" w:tplc="EF9E3BA0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DE3"/>
    <w:rsid w:val="00000022"/>
    <w:rsid w:val="00002F71"/>
    <w:rsid w:val="00003418"/>
    <w:rsid w:val="00012393"/>
    <w:rsid w:val="00012FAB"/>
    <w:rsid w:val="0001480A"/>
    <w:rsid w:val="00014B35"/>
    <w:rsid w:val="00017331"/>
    <w:rsid w:val="00034F61"/>
    <w:rsid w:val="000447D7"/>
    <w:rsid w:val="00054351"/>
    <w:rsid w:val="00062898"/>
    <w:rsid w:val="00074FB8"/>
    <w:rsid w:val="00091594"/>
    <w:rsid w:val="00095BA5"/>
    <w:rsid w:val="000A199D"/>
    <w:rsid w:val="000A30CF"/>
    <w:rsid w:val="000B470E"/>
    <w:rsid w:val="000B6247"/>
    <w:rsid w:val="000D3F3A"/>
    <w:rsid w:val="000E4090"/>
    <w:rsid w:val="000F29F1"/>
    <w:rsid w:val="000F3114"/>
    <w:rsid w:val="000F3135"/>
    <w:rsid w:val="000F6C35"/>
    <w:rsid w:val="00103B43"/>
    <w:rsid w:val="0011330B"/>
    <w:rsid w:val="00113670"/>
    <w:rsid w:val="00120F38"/>
    <w:rsid w:val="00126596"/>
    <w:rsid w:val="00137303"/>
    <w:rsid w:val="001402A9"/>
    <w:rsid w:val="00143898"/>
    <w:rsid w:val="00144D1D"/>
    <w:rsid w:val="00161DE3"/>
    <w:rsid w:val="00162F4E"/>
    <w:rsid w:val="00164056"/>
    <w:rsid w:val="001666E1"/>
    <w:rsid w:val="0016759D"/>
    <w:rsid w:val="001741EE"/>
    <w:rsid w:val="001804F6"/>
    <w:rsid w:val="00186104"/>
    <w:rsid w:val="00186518"/>
    <w:rsid w:val="001866AF"/>
    <w:rsid w:val="0019480A"/>
    <w:rsid w:val="00197323"/>
    <w:rsid w:val="001A2E0C"/>
    <w:rsid w:val="001A4E90"/>
    <w:rsid w:val="001B2289"/>
    <w:rsid w:val="001B39F3"/>
    <w:rsid w:val="001C2F13"/>
    <w:rsid w:val="001C60F7"/>
    <w:rsid w:val="001D3FF4"/>
    <w:rsid w:val="001D4275"/>
    <w:rsid w:val="001D58C5"/>
    <w:rsid w:val="001E73A9"/>
    <w:rsid w:val="001F2AC8"/>
    <w:rsid w:val="001F7BB2"/>
    <w:rsid w:val="00201D41"/>
    <w:rsid w:val="002049AF"/>
    <w:rsid w:val="002051A2"/>
    <w:rsid w:val="0023127E"/>
    <w:rsid w:val="0023452A"/>
    <w:rsid w:val="00243545"/>
    <w:rsid w:val="00251C97"/>
    <w:rsid w:val="00262EFA"/>
    <w:rsid w:val="00264EF3"/>
    <w:rsid w:val="00273556"/>
    <w:rsid w:val="002759CE"/>
    <w:rsid w:val="0028247F"/>
    <w:rsid w:val="00297B58"/>
    <w:rsid w:val="002C18DD"/>
    <w:rsid w:val="002C3CCD"/>
    <w:rsid w:val="002C5CA8"/>
    <w:rsid w:val="002C696A"/>
    <w:rsid w:val="002D245E"/>
    <w:rsid w:val="00303C16"/>
    <w:rsid w:val="003167D1"/>
    <w:rsid w:val="00317D36"/>
    <w:rsid w:val="00325312"/>
    <w:rsid w:val="0033642E"/>
    <w:rsid w:val="00340294"/>
    <w:rsid w:val="003558ED"/>
    <w:rsid w:val="003808C1"/>
    <w:rsid w:val="00381AAC"/>
    <w:rsid w:val="00382561"/>
    <w:rsid w:val="003A56DF"/>
    <w:rsid w:val="003B7B9D"/>
    <w:rsid w:val="003C6BC5"/>
    <w:rsid w:val="003D0E53"/>
    <w:rsid w:val="003D7CA0"/>
    <w:rsid w:val="003F685C"/>
    <w:rsid w:val="00407429"/>
    <w:rsid w:val="00416620"/>
    <w:rsid w:val="0043227A"/>
    <w:rsid w:val="0043515B"/>
    <w:rsid w:val="0044410A"/>
    <w:rsid w:val="00461582"/>
    <w:rsid w:val="00473FB9"/>
    <w:rsid w:val="00487531"/>
    <w:rsid w:val="00492C83"/>
    <w:rsid w:val="004931C4"/>
    <w:rsid w:val="0049606A"/>
    <w:rsid w:val="00497EBC"/>
    <w:rsid w:val="004A708E"/>
    <w:rsid w:val="004B052F"/>
    <w:rsid w:val="004B254C"/>
    <w:rsid w:val="004C0CB0"/>
    <w:rsid w:val="004C43ED"/>
    <w:rsid w:val="004D1633"/>
    <w:rsid w:val="004D4809"/>
    <w:rsid w:val="004D64B4"/>
    <w:rsid w:val="004E7FEB"/>
    <w:rsid w:val="004F47B1"/>
    <w:rsid w:val="0050073F"/>
    <w:rsid w:val="00513F4D"/>
    <w:rsid w:val="0051723D"/>
    <w:rsid w:val="00521541"/>
    <w:rsid w:val="00521F96"/>
    <w:rsid w:val="00547897"/>
    <w:rsid w:val="00554720"/>
    <w:rsid w:val="0056482D"/>
    <w:rsid w:val="00570C5B"/>
    <w:rsid w:val="00572E1A"/>
    <w:rsid w:val="00574BA9"/>
    <w:rsid w:val="00574DAC"/>
    <w:rsid w:val="005A4E87"/>
    <w:rsid w:val="005B33FF"/>
    <w:rsid w:val="005B5849"/>
    <w:rsid w:val="005B5B1C"/>
    <w:rsid w:val="005B6BD3"/>
    <w:rsid w:val="005C5D63"/>
    <w:rsid w:val="005E12F0"/>
    <w:rsid w:val="005E68EF"/>
    <w:rsid w:val="005E7AE4"/>
    <w:rsid w:val="005F0137"/>
    <w:rsid w:val="005F58CC"/>
    <w:rsid w:val="0060535D"/>
    <w:rsid w:val="00611316"/>
    <w:rsid w:val="0061566E"/>
    <w:rsid w:val="00627088"/>
    <w:rsid w:val="00652BFA"/>
    <w:rsid w:val="00663047"/>
    <w:rsid w:val="00667B59"/>
    <w:rsid w:val="00674AF9"/>
    <w:rsid w:val="0068003B"/>
    <w:rsid w:val="006872AE"/>
    <w:rsid w:val="00690DA2"/>
    <w:rsid w:val="00691B6C"/>
    <w:rsid w:val="006B238E"/>
    <w:rsid w:val="006B368F"/>
    <w:rsid w:val="006D5C12"/>
    <w:rsid w:val="006D7AB7"/>
    <w:rsid w:val="006E7E26"/>
    <w:rsid w:val="006F44DA"/>
    <w:rsid w:val="006F7A62"/>
    <w:rsid w:val="00704116"/>
    <w:rsid w:val="00705047"/>
    <w:rsid w:val="00724357"/>
    <w:rsid w:val="00736030"/>
    <w:rsid w:val="00737EF8"/>
    <w:rsid w:val="0074340D"/>
    <w:rsid w:val="00751BCA"/>
    <w:rsid w:val="00764294"/>
    <w:rsid w:val="00766CB1"/>
    <w:rsid w:val="007712FB"/>
    <w:rsid w:val="007729D8"/>
    <w:rsid w:val="00775E4E"/>
    <w:rsid w:val="007761C9"/>
    <w:rsid w:val="00781D40"/>
    <w:rsid w:val="00792D07"/>
    <w:rsid w:val="007A21FA"/>
    <w:rsid w:val="007A5820"/>
    <w:rsid w:val="007B32A6"/>
    <w:rsid w:val="007B5285"/>
    <w:rsid w:val="007B799C"/>
    <w:rsid w:val="007C620C"/>
    <w:rsid w:val="007D1B75"/>
    <w:rsid w:val="007D601E"/>
    <w:rsid w:val="007E748F"/>
    <w:rsid w:val="007F3E74"/>
    <w:rsid w:val="00800E0D"/>
    <w:rsid w:val="0080577F"/>
    <w:rsid w:val="008110A5"/>
    <w:rsid w:val="00811ECA"/>
    <w:rsid w:val="00827716"/>
    <w:rsid w:val="008337B3"/>
    <w:rsid w:val="00841E9C"/>
    <w:rsid w:val="0084299C"/>
    <w:rsid w:val="00851AD7"/>
    <w:rsid w:val="008607BC"/>
    <w:rsid w:val="00860AC3"/>
    <w:rsid w:val="008678E0"/>
    <w:rsid w:val="00872242"/>
    <w:rsid w:val="008775D1"/>
    <w:rsid w:val="00885EBE"/>
    <w:rsid w:val="00890831"/>
    <w:rsid w:val="008A7F82"/>
    <w:rsid w:val="008B02E8"/>
    <w:rsid w:val="008C0364"/>
    <w:rsid w:val="008D7A76"/>
    <w:rsid w:val="008F0893"/>
    <w:rsid w:val="00900621"/>
    <w:rsid w:val="009038B5"/>
    <w:rsid w:val="0090540B"/>
    <w:rsid w:val="00906735"/>
    <w:rsid w:val="00912124"/>
    <w:rsid w:val="00942961"/>
    <w:rsid w:val="00944931"/>
    <w:rsid w:val="00961F1F"/>
    <w:rsid w:val="009660CA"/>
    <w:rsid w:val="00976F00"/>
    <w:rsid w:val="0098359D"/>
    <w:rsid w:val="00985D64"/>
    <w:rsid w:val="009870ED"/>
    <w:rsid w:val="009903B0"/>
    <w:rsid w:val="009953CB"/>
    <w:rsid w:val="009B2753"/>
    <w:rsid w:val="009B79FC"/>
    <w:rsid w:val="009C5D53"/>
    <w:rsid w:val="00A03DE5"/>
    <w:rsid w:val="00A202A1"/>
    <w:rsid w:val="00A22BD6"/>
    <w:rsid w:val="00A22C64"/>
    <w:rsid w:val="00A238E2"/>
    <w:rsid w:val="00A32C7C"/>
    <w:rsid w:val="00A35857"/>
    <w:rsid w:val="00A546C9"/>
    <w:rsid w:val="00A60538"/>
    <w:rsid w:val="00A628BA"/>
    <w:rsid w:val="00A65592"/>
    <w:rsid w:val="00A77B8E"/>
    <w:rsid w:val="00A97CDB"/>
    <w:rsid w:val="00AA68E3"/>
    <w:rsid w:val="00AB12AE"/>
    <w:rsid w:val="00AC31F6"/>
    <w:rsid w:val="00AC60B9"/>
    <w:rsid w:val="00AE31C1"/>
    <w:rsid w:val="00AE48A5"/>
    <w:rsid w:val="00AE4FBC"/>
    <w:rsid w:val="00AF041A"/>
    <w:rsid w:val="00B02656"/>
    <w:rsid w:val="00B07E1A"/>
    <w:rsid w:val="00B4056B"/>
    <w:rsid w:val="00B73479"/>
    <w:rsid w:val="00B76622"/>
    <w:rsid w:val="00B9450C"/>
    <w:rsid w:val="00B947EC"/>
    <w:rsid w:val="00BA6472"/>
    <w:rsid w:val="00BC5941"/>
    <w:rsid w:val="00BC767D"/>
    <w:rsid w:val="00BE275A"/>
    <w:rsid w:val="00BF4EFF"/>
    <w:rsid w:val="00C0067F"/>
    <w:rsid w:val="00C02236"/>
    <w:rsid w:val="00C1469D"/>
    <w:rsid w:val="00C2741C"/>
    <w:rsid w:val="00C30B71"/>
    <w:rsid w:val="00C367FF"/>
    <w:rsid w:val="00C401A5"/>
    <w:rsid w:val="00C41D41"/>
    <w:rsid w:val="00C51A50"/>
    <w:rsid w:val="00C53AE1"/>
    <w:rsid w:val="00C53FE7"/>
    <w:rsid w:val="00C6158A"/>
    <w:rsid w:val="00C73147"/>
    <w:rsid w:val="00C80ECE"/>
    <w:rsid w:val="00C94EE7"/>
    <w:rsid w:val="00CA09A4"/>
    <w:rsid w:val="00CA2CD5"/>
    <w:rsid w:val="00CA2FFC"/>
    <w:rsid w:val="00CB4A4C"/>
    <w:rsid w:val="00CB6A35"/>
    <w:rsid w:val="00CC07E8"/>
    <w:rsid w:val="00CC3F38"/>
    <w:rsid w:val="00CC4D32"/>
    <w:rsid w:val="00CC5D7C"/>
    <w:rsid w:val="00CE171F"/>
    <w:rsid w:val="00CE6517"/>
    <w:rsid w:val="00CF0A7A"/>
    <w:rsid w:val="00CF35BF"/>
    <w:rsid w:val="00D1148B"/>
    <w:rsid w:val="00D12196"/>
    <w:rsid w:val="00D2056A"/>
    <w:rsid w:val="00D231D8"/>
    <w:rsid w:val="00D25174"/>
    <w:rsid w:val="00D25E71"/>
    <w:rsid w:val="00D3791D"/>
    <w:rsid w:val="00D45D8E"/>
    <w:rsid w:val="00D47A9B"/>
    <w:rsid w:val="00D56819"/>
    <w:rsid w:val="00D6323B"/>
    <w:rsid w:val="00D868C4"/>
    <w:rsid w:val="00D9086F"/>
    <w:rsid w:val="00D976A5"/>
    <w:rsid w:val="00DA2FF3"/>
    <w:rsid w:val="00DB7892"/>
    <w:rsid w:val="00DB798C"/>
    <w:rsid w:val="00DC5CD0"/>
    <w:rsid w:val="00DD419D"/>
    <w:rsid w:val="00DD4585"/>
    <w:rsid w:val="00DE14DA"/>
    <w:rsid w:val="00DF27BB"/>
    <w:rsid w:val="00DF2C45"/>
    <w:rsid w:val="00DF3C0D"/>
    <w:rsid w:val="00DF6018"/>
    <w:rsid w:val="00E0345F"/>
    <w:rsid w:val="00E10192"/>
    <w:rsid w:val="00E12D47"/>
    <w:rsid w:val="00E32BED"/>
    <w:rsid w:val="00E335E7"/>
    <w:rsid w:val="00E42B65"/>
    <w:rsid w:val="00E462F9"/>
    <w:rsid w:val="00E6160B"/>
    <w:rsid w:val="00E67C88"/>
    <w:rsid w:val="00E75294"/>
    <w:rsid w:val="00E828E4"/>
    <w:rsid w:val="00E931B0"/>
    <w:rsid w:val="00E9371C"/>
    <w:rsid w:val="00EB19BA"/>
    <w:rsid w:val="00EB4DCB"/>
    <w:rsid w:val="00EE3D5D"/>
    <w:rsid w:val="00EE5886"/>
    <w:rsid w:val="00EE6A92"/>
    <w:rsid w:val="00F1116D"/>
    <w:rsid w:val="00F15E77"/>
    <w:rsid w:val="00F228C9"/>
    <w:rsid w:val="00F30140"/>
    <w:rsid w:val="00F30CC3"/>
    <w:rsid w:val="00F360E2"/>
    <w:rsid w:val="00F406EA"/>
    <w:rsid w:val="00F5269A"/>
    <w:rsid w:val="00F54ACF"/>
    <w:rsid w:val="00F66102"/>
    <w:rsid w:val="00F72D06"/>
    <w:rsid w:val="00F736A3"/>
    <w:rsid w:val="00F77829"/>
    <w:rsid w:val="00F86D00"/>
    <w:rsid w:val="00F91D72"/>
    <w:rsid w:val="00F96809"/>
    <w:rsid w:val="00FA39F6"/>
    <w:rsid w:val="00FB119E"/>
    <w:rsid w:val="00FD3DDC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6D00"/>
    <w:pPr>
      <w:spacing w:after="200" w:line="276" w:lineRule="auto"/>
    </w:pPr>
    <w:rPr>
      <w:sz w:val="22"/>
      <w:szCs w:val="22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semiHidden/>
    <w:rsid w:val="00860AC3"/>
    <w:pPr>
      <w:spacing w:after="0" w:line="240" w:lineRule="auto"/>
    </w:pPr>
    <w:rPr>
      <w:rFonts w:ascii="Tahoma" w:hAnsi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semiHidden/>
    <w:locked/>
    <w:rsid w:val="00860AC3"/>
    <w:rPr>
      <w:rFonts w:ascii="Tahoma" w:hAnsi="Tahoma" w:cs="Times New Roman"/>
      <w:sz w:val="16"/>
    </w:rPr>
  </w:style>
  <w:style w:type="paragraph" w:styleId="DipnotMetni">
    <w:name w:val="footnote text"/>
    <w:basedOn w:val="Normal"/>
    <w:link w:val="DipnotMetniChar"/>
    <w:semiHidden/>
    <w:rsid w:val="00161DE3"/>
    <w:rPr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semiHidden/>
    <w:locked/>
    <w:rsid w:val="00161DE3"/>
    <w:rPr>
      <w:rFonts w:ascii="Calibri" w:hAnsi="Calibri" w:cs="Times New Roman"/>
      <w:sz w:val="20"/>
      <w:lang w:eastAsia="en-US"/>
    </w:rPr>
  </w:style>
  <w:style w:type="character" w:styleId="DipnotBavurusu">
    <w:name w:val="footnote reference"/>
    <w:basedOn w:val="VarsaylanParagrafYazTipi"/>
    <w:semiHidden/>
    <w:rsid w:val="00161DE3"/>
    <w:rPr>
      <w:rFonts w:cs="Times New Roman"/>
      <w:vertAlign w:val="superscript"/>
    </w:rPr>
  </w:style>
  <w:style w:type="paragraph" w:customStyle="1" w:styleId="ListeParagraf1">
    <w:name w:val="Liste Paragraf1"/>
    <w:basedOn w:val="Normal"/>
    <w:rsid w:val="00161DE3"/>
    <w:pPr>
      <w:ind w:left="720"/>
      <w:contextualSpacing/>
    </w:pPr>
  </w:style>
  <w:style w:type="paragraph" w:styleId="BelgeBalantlar">
    <w:name w:val="Document Map"/>
    <w:basedOn w:val="Normal"/>
    <w:link w:val="BelgeBalantlarChar"/>
    <w:semiHidden/>
    <w:rsid w:val="004C43ED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BelgeBalantlarChar">
    <w:name w:val="Belge Bağlantıları Char"/>
    <w:basedOn w:val="VarsaylanParagrafYazTipi"/>
    <w:link w:val="BelgeBalantlar"/>
    <w:semiHidden/>
    <w:locked/>
    <w:rsid w:val="008F0893"/>
    <w:rPr>
      <w:rFonts w:ascii="Times New Roman" w:hAnsi="Times New Roman" w:cs="Times New Roman"/>
      <w:sz w:val="2"/>
      <w:lang w:eastAsia="zh-CN"/>
    </w:rPr>
  </w:style>
  <w:style w:type="paragraph" w:styleId="stbilgi">
    <w:name w:val="header"/>
    <w:basedOn w:val="Normal"/>
    <w:link w:val="stbilgiChar"/>
    <w:semiHidden/>
    <w:rsid w:val="0098359D"/>
    <w:pPr>
      <w:spacing w:after="480" w:line="360" w:lineRule="auto"/>
      <w:jc w:val="both"/>
    </w:pPr>
    <w:rPr>
      <w:rFonts w:ascii="Arial" w:hAnsi="Arial"/>
      <w:sz w:val="16"/>
      <w:szCs w:val="20"/>
      <w:lang w:eastAsia="en-US"/>
    </w:rPr>
  </w:style>
  <w:style w:type="character" w:customStyle="1" w:styleId="stbilgiChar">
    <w:name w:val="Üstbilgi Char"/>
    <w:basedOn w:val="VarsaylanParagrafYazTipi"/>
    <w:link w:val="stbilgi"/>
    <w:semiHidden/>
    <w:locked/>
    <w:rsid w:val="0098359D"/>
    <w:rPr>
      <w:rFonts w:ascii="Arial" w:hAnsi="Arial" w:cs="Times New Roman"/>
      <w:sz w:val="20"/>
      <w:lang w:eastAsia="en-US"/>
    </w:rPr>
  </w:style>
  <w:style w:type="paragraph" w:customStyle="1" w:styleId="Dzeltme1">
    <w:name w:val="Düzeltme1"/>
    <w:hidden/>
    <w:semiHidden/>
    <w:rsid w:val="00F360E2"/>
    <w:rPr>
      <w:sz w:val="22"/>
      <w:szCs w:val="22"/>
      <w:lang w:eastAsia="zh-CN"/>
    </w:rPr>
  </w:style>
  <w:style w:type="character" w:styleId="AklamaBavurusu">
    <w:name w:val="annotation reference"/>
    <w:basedOn w:val="VarsaylanParagrafYazTipi"/>
    <w:semiHidden/>
    <w:rsid w:val="00A35857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A3585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locked/>
    <w:rPr>
      <w:rFonts w:cs="Times New Roman"/>
      <w:sz w:val="20"/>
      <w:szCs w:val="20"/>
      <w:lang w:eastAsia="zh-CN"/>
    </w:rPr>
  </w:style>
  <w:style w:type="paragraph" w:styleId="AklamaKonusu">
    <w:name w:val="annotation subject"/>
    <w:basedOn w:val="AklamaMetni"/>
    <w:next w:val="AklamaMetni"/>
    <w:link w:val="AklamaKonusuChar"/>
    <w:semiHidden/>
    <w:rsid w:val="00A35857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locked/>
    <w:rPr>
      <w:rFonts w:cs="Times New Roman"/>
      <w:b/>
      <w:bCs/>
      <w:sz w:val="20"/>
      <w:szCs w:val="20"/>
      <w:lang w:eastAsia="zh-CN"/>
    </w:rPr>
  </w:style>
  <w:style w:type="paragraph" w:customStyle="1" w:styleId="TEIASText">
    <w:name w:val="TEIAS Text"/>
    <w:basedOn w:val="Normal"/>
    <w:link w:val="TEIASTextChar"/>
    <w:rsid w:val="00492C83"/>
    <w:pPr>
      <w:spacing w:before="240" w:after="120" w:line="360" w:lineRule="auto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TEIASTextChar">
    <w:name w:val="TEIAS Text Char"/>
    <w:link w:val="TEIASText"/>
    <w:locked/>
    <w:rsid w:val="00492C83"/>
    <w:rPr>
      <w:rFonts w:ascii="Verdana" w:hAnsi="Verdana"/>
      <w:lang w:eastAsia="en-US"/>
    </w:rPr>
  </w:style>
  <w:style w:type="table" w:styleId="TabloKlavuzu">
    <w:name w:val="Table Grid"/>
    <w:basedOn w:val="NormalTablo"/>
    <w:locked/>
    <w:rsid w:val="00CF3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D56819"/>
    <w:rPr>
      <w:color w:val="808080"/>
    </w:rPr>
  </w:style>
  <w:style w:type="paragraph" w:styleId="Altbilgi">
    <w:name w:val="footer"/>
    <w:basedOn w:val="Normal"/>
    <w:link w:val="AltbilgiChar"/>
    <w:rsid w:val="00AE4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AE48A5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pmum fark fonu</vt:lpstr>
    </vt:vector>
  </TitlesOfParts>
  <Company>Hewlett-Packard Company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pmum fark fonu</dc:title>
  <dc:creator>orhan satıroğlu</dc:creator>
  <cp:lastModifiedBy>Fatih Teoman KAYA</cp:lastModifiedBy>
  <cp:revision>22</cp:revision>
  <cp:lastPrinted>2012-09-27T13:26:00Z</cp:lastPrinted>
  <dcterms:created xsi:type="dcterms:W3CDTF">2013-09-08T14:57:00Z</dcterms:created>
  <dcterms:modified xsi:type="dcterms:W3CDTF">2013-09-23T06:45:00Z</dcterms:modified>
</cp:coreProperties>
</file>