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4"/>
      </w:tblGrid>
      <w:tr w:rsidR="00CA1E01" w:rsidRPr="00CA1E01" w:rsidTr="005C2D08">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CA1E01" w:rsidRPr="00CA1E01">
              <w:trPr>
                <w:trHeight w:val="317"/>
                <w:jc w:val="center"/>
              </w:trPr>
              <w:tc>
                <w:tcPr>
                  <w:tcW w:w="2931" w:type="dxa"/>
                  <w:tcBorders>
                    <w:top w:val="nil"/>
                    <w:left w:val="nil"/>
                    <w:bottom w:val="single" w:sz="4" w:space="0" w:color="660066"/>
                    <w:right w:val="nil"/>
                  </w:tcBorders>
                  <w:vAlign w:val="center"/>
                  <w:hideMark/>
                </w:tcPr>
                <w:p w:rsidR="00CA1E01" w:rsidRPr="00CA1E01" w:rsidRDefault="00CA1E01" w:rsidP="00455905">
                  <w:pPr>
                    <w:tabs>
                      <w:tab w:val="left" w:pos="567"/>
                      <w:tab w:val="center" w:pos="994"/>
                      <w:tab w:val="center" w:pos="3543"/>
                      <w:tab w:val="right" w:pos="6520"/>
                    </w:tabs>
                    <w:spacing w:after="0" w:line="240" w:lineRule="exact"/>
                    <w:rPr>
                      <w:rFonts w:ascii="Arial" w:eastAsia="Times New Roman" w:hAnsi="Arial" w:cs="Arial"/>
                      <w:b/>
                      <w:sz w:val="16"/>
                      <w:szCs w:val="16"/>
                    </w:rPr>
                  </w:pPr>
                  <w:r>
                    <w:rPr>
                      <w:rFonts w:ascii="Arial" w:eastAsia="Times New Roman" w:hAnsi="Arial" w:cs="Arial"/>
                      <w:sz w:val="16"/>
                      <w:szCs w:val="16"/>
                    </w:rPr>
                    <w:t>1</w:t>
                  </w:r>
                  <w:r w:rsidRPr="00CA1E01">
                    <w:rPr>
                      <w:rFonts w:ascii="Arial" w:eastAsia="Times New Roman" w:hAnsi="Arial" w:cs="Arial"/>
                      <w:sz w:val="16"/>
                      <w:szCs w:val="16"/>
                    </w:rPr>
                    <w:t>8 Şubat 2012 CUMARTESİ</w:t>
                  </w:r>
                </w:p>
              </w:tc>
              <w:tc>
                <w:tcPr>
                  <w:tcW w:w="2931" w:type="dxa"/>
                  <w:tcBorders>
                    <w:top w:val="nil"/>
                    <w:left w:val="nil"/>
                    <w:bottom w:val="single" w:sz="4" w:space="0" w:color="660066"/>
                    <w:right w:val="nil"/>
                  </w:tcBorders>
                  <w:vAlign w:val="center"/>
                  <w:hideMark/>
                </w:tcPr>
                <w:p w:rsidR="00CA1E01" w:rsidRPr="00CA1E01" w:rsidRDefault="00CA1E01" w:rsidP="0045590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rPr>
                  </w:pPr>
                  <w:r w:rsidRPr="00CA1E01">
                    <w:rPr>
                      <w:rFonts w:ascii="Palatino Linotype" w:eastAsia="Times New Roman" w:hAnsi="Palatino Linotype" w:cs="Times New Roman"/>
                      <w:b/>
                      <w:color w:val="800080"/>
                      <w:sz w:val="24"/>
                      <w:szCs w:val="24"/>
                    </w:rPr>
                    <w:t>Resmî Gazete</w:t>
                  </w:r>
                </w:p>
              </w:tc>
              <w:tc>
                <w:tcPr>
                  <w:tcW w:w="2927" w:type="dxa"/>
                  <w:tcBorders>
                    <w:top w:val="nil"/>
                    <w:left w:val="nil"/>
                    <w:bottom w:val="single" w:sz="4" w:space="0" w:color="660066"/>
                    <w:right w:val="nil"/>
                  </w:tcBorders>
                  <w:vAlign w:val="center"/>
                  <w:hideMark/>
                </w:tcPr>
                <w:p w:rsidR="00CA1E01" w:rsidRPr="00CA1E01" w:rsidRDefault="00CA1E01" w:rsidP="00455905">
                  <w:pPr>
                    <w:spacing w:after="0" w:line="240" w:lineRule="auto"/>
                    <w:jc w:val="right"/>
                    <w:rPr>
                      <w:rFonts w:ascii="Arial" w:eastAsia="Times New Roman" w:hAnsi="Arial" w:cs="Arial"/>
                      <w:b/>
                      <w:sz w:val="16"/>
                      <w:szCs w:val="16"/>
                    </w:rPr>
                  </w:pPr>
                  <w:proofErr w:type="gramStart"/>
                  <w:r w:rsidRPr="00CA1E01">
                    <w:rPr>
                      <w:rFonts w:ascii="Arial" w:eastAsia="Times New Roman" w:hAnsi="Arial" w:cs="Arial"/>
                      <w:sz w:val="16"/>
                      <w:szCs w:val="16"/>
                    </w:rPr>
                    <w:t>Sayı : 28208</w:t>
                  </w:r>
                  <w:proofErr w:type="gramEnd"/>
                </w:p>
              </w:tc>
            </w:tr>
            <w:tr w:rsidR="00CA1E01" w:rsidRPr="00CA1E01">
              <w:trPr>
                <w:trHeight w:val="480"/>
                <w:jc w:val="center"/>
              </w:trPr>
              <w:tc>
                <w:tcPr>
                  <w:tcW w:w="8789" w:type="dxa"/>
                  <w:gridSpan w:val="3"/>
                  <w:vAlign w:val="center"/>
                  <w:hideMark/>
                </w:tcPr>
                <w:p w:rsidR="00CA1E01" w:rsidRPr="00CA1E01" w:rsidRDefault="00CA1E01" w:rsidP="00455905">
                  <w:pPr>
                    <w:spacing w:after="0" w:line="240" w:lineRule="auto"/>
                    <w:jc w:val="center"/>
                    <w:rPr>
                      <w:rFonts w:ascii="Arial" w:eastAsia="Times New Roman" w:hAnsi="Arial" w:cs="Arial"/>
                      <w:b/>
                      <w:color w:val="000080"/>
                      <w:sz w:val="18"/>
                      <w:szCs w:val="18"/>
                    </w:rPr>
                  </w:pPr>
                  <w:r w:rsidRPr="00CA1E01">
                    <w:rPr>
                      <w:rFonts w:ascii="Arial" w:eastAsia="Times New Roman" w:hAnsi="Arial" w:cs="Arial"/>
                      <w:b/>
                      <w:color w:val="000080"/>
                      <w:sz w:val="18"/>
                      <w:szCs w:val="18"/>
                    </w:rPr>
                    <w:t>YÖNETMELİK</w:t>
                  </w:r>
                </w:p>
              </w:tc>
            </w:tr>
            <w:tr w:rsidR="00CA1E01" w:rsidRPr="00CA1E01">
              <w:trPr>
                <w:trHeight w:val="480"/>
                <w:jc w:val="center"/>
              </w:trPr>
              <w:tc>
                <w:tcPr>
                  <w:tcW w:w="8789" w:type="dxa"/>
                  <w:gridSpan w:val="3"/>
                  <w:vAlign w:val="center"/>
                  <w:hideMark/>
                </w:tcPr>
                <w:p w:rsidR="00CA1E01" w:rsidRPr="00CA1E01" w:rsidRDefault="00CA1E01" w:rsidP="00945EF5">
                  <w:pPr>
                    <w:tabs>
                      <w:tab w:val="left" w:pos="566"/>
                    </w:tabs>
                    <w:spacing w:after="0"/>
                    <w:jc w:val="both"/>
                    <w:rPr>
                      <w:rFonts w:ascii="Times New Roman" w:eastAsia="ヒラギノ明朝 Pro W3" w:hAnsi="Times New Roman" w:cs="Times New Roman"/>
                      <w:szCs w:val="18"/>
                      <w:u w:val="single"/>
                    </w:rPr>
                  </w:pPr>
                  <w:r w:rsidRPr="00CA1E01">
                    <w:rPr>
                      <w:rFonts w:ascii="Times New Roman" w:eastAsia="ヒラギノ明朝 Pro W3" w:hAnsi="Times New Roman" w:cs="Times New Roman"/>
                      <w:szCs w:val="18"/>
                      <w:u w:val="single"/>
                    </w:rPr>
                    <w:t>Enerji Piyasası Düzenleme Kurumundan:</w:t>
                  </w:r>
                </w:p>
                <w:p w:rsidR="00CA1E01" w:rsidRPr="00CA1E01" w:rsidRDefault="00CA1E01" w:rsidP="004D22F1">
                  <w:pPr>
                    <w:tabs>
                      <w:tab w:val="left" w:pos="566"/>
                    </w:tabs>
                    <w:spacing w:after="0"/>
                    <w:jc w:val="center"/>
                    <w:rPr>
                      <w:rFonts w:ascii="Times New Roman" w:eastAsia="ヒラギノ明朝 Pro W3" w:hAnsi="Times New Roman" w:cs="Times New Roman"/>
                      <w:b/>
                      <w:szCs w:val="18"/>
                    </w:rPr>
                  </w:pPr>
                  <w:r w:rsidRPr="00CA1E01">
                    <w:rPr>
                      <w:rFonts w:ascii="Times New Roman" w:eastAsia="ヒラギノ明朝 Pro W3" w:hAnsi="Times New Roman" w:cs="Times New Roman"/>
                      <w:b/>
                      <w:szCs w:val="18"/>
                    </w:rPr>
                    <w:t xml:space="preserve">ORGANİZE SANAYİ BÖLGELERİNİN ELEKTRİK PİYASASI FAALİYETLERİNE </w:t>
                  </w:r>
                </w:p>
                <w:p w:rsidR="00CA1E01" w:rsidRPr="00CA1E01" w:rsidRDefault="00CA1E01" w:rsidP="004D22F1">
                  <w:pPr>
                    <w:tabs>
                      <w:tab w:val="left" w:pos="566"/>
                    </w:tabs>
                    <w:spacing w:after="0"/>
                    <w:jc w:val="center"/>
                    <w:rPr>
                      <w:rFonts w:ascii="Times New Roman" w:eastAsia="ヒラギノ明朝 Pro W3" w:hAnsi="Times New Roman" w:cs="Times New Roman"/>
                      <w:b/>
                      <w:szCs w:val="18"/>
                    </w:rPr>
                  </w:pPr>
                  <w:r w:rsidRPr="00CA1E01">
                    <w:rPr>
                      <w:rFonts w:ascii="Times New Roman" w:eastAsia="ヒラギノ明朝 Pro W3" w:hAnsi="Times New Roman" w:cs="Times New Roman"/>
                      <w:b/>
                      <w:szCs w:val="18"/>
                    </w:rPr>
                    <w:t xml:space="preserve">İLİŞKİN YÖNETMELİKTE DEĞİŞİKLİK YAPILMASINA </w:t>
                  </w:r>
                </w:p>
                <w:p w:rsidR="00CA1E01" w:rsidRPr="00CA1E01" w:rsidRDefault="00CA1E01" w:rsidP="004D22F1">
                  <w:pPr>
                    <w:tabs>
                      <w:tab w:val="left" w:pos="566"/>
                    </w:tabs>
                    <w:spacing w:after="0"/>
                    <w:jc w:val="center"/>
                    <w:rPr>
                      <w:rFonts w:ascii="Times New Roman" w:eastAsia="ヒラギノ明朝 Pro W3" w:hAnsi="Times New Roman" w:cs="Times New Roman"/>
                      <w:b/>
                      <w:szCs w:val="18"/>
                    </w:rPr>
                  </w:pPr>
                  <w:r w:rsidRPr="00CA1E01">
                    <w:rPr>
                      <w:rFonts w:ascii="Times New Roman" w:eastAsia="ヒラギノ明朝 Pro W3" w:hAnsi="Times New Roman" w:cs="Times New Roman"/>
                      <w:b/>
                      <w:szCs w:val="18"/>
                    </w:rPr>
                    <w:t>İLİŞKİN YÖNETMELİK</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1 –</w:t>
                  </w:r>
                  <w:r w:rsidRPr="00CA1E01">
                    <w:rPr>
                      <w:rFonts w:ascii="Times New Roman" w:eastAsia="ヒラギノ明朝 Pro W3" w:hAnsi="Times New Roman" w:cs="Times New Roman"/>
                      <w:szCs w:val="18"/>
                    </w:rPr>
                    <w:t xml:space="preserve"> </w:t>
                  </w:r>
                  <w:proofErr w:type="gramStart"/>
                  <w:r w:rsidRPr="00CA1E01">
                    <w:rPr>
                      <w:rFonts w:ascii="Times New Roman" w:eastAsia="ヒラギノ明朝 Pro W3" w:hAnsi="Times New Roman" w:cs="Times New Roman"/>
                      <w:szCs w:val="18"/>
                    </w:rPr>
                    <w:t>29/12/2006</w:t>
                  </w:r>
                  <w:proofErr w:type="gramEnd"/>
                  <w:r w:rsidRPr="00CA1E01">
                    <w:rPr>
                      <w:rFonts w:ascii="Times New Roman" w:eastAsia="ヒラギノ明朝 Pro W3" w:hAnsi="Times New Roman" w:cs="Times New Roman"/>
                      <w:szCs w:val="18"/>
                    </w:rPr>
                    <w:t xml:space="preserve"> tarihli ve 26391 sayılı Resmî Gazete’de yayımlanan Organize Sanayi Bölgelerinin Elektrik Piyasası Faaliyetlerine İlişkin Yönetmeliğin 4 üncü maddesinin birinci fıkrasının (l) ve (ö) bentleri aşağıdaki şekilde değiştirilmiş, (</w:t>
                  </w:r>
                  <w:proofErr w:type="spellStart"/>
                  <w:r w:rsidRPr="00CA1E01">
                    <w:rPr>
                      <w:rFonts w:ascii="Times New Roman" w:eastAsia="ヒラギノ明朝 Pro W3" w:hAnsi="Times New Roman" w:cs="Times New Roman"/>
                      <w:szCs w:val="18"/>
                    </w:rPr>
                    <w:t>bb</w:t>
                  </w:r>
                  <w:proofErr w:type="spellEnd"/>
                  <w:r w:rsidRPr="00CA1E01">
                    <w:rPr>
                      <w:rFonts w:ascii="Times New Roman" w:eastAsia="ヒラギノ明朝 Pro W3" w:hAnsi="Times New Roman" w:cs="Times New Roman"/>
                      <w:szCs w:val="18"/>
                    </w:rPr>
                    <w:t>) bendi yürürlükten kaldırılmış ve aynı fıkranın sonuna aşağıdaki (</w:t>
                  </w:r>
                  <w:proofErr w:type="spellStart"/>
                  <w:r w:rsidRPr="00CA1E01">
                    <w:rPr>
                      <w:rFonts w:ascii="Times New Roman" w:eastAsia="ヒラギノ明朝 Pro W3" w:hAnsi="Times New Roman" w:cs="Times New Roman"/>
                      <w:szCs w:val="18"/>
                    </w:rPr>
                    <w:t>ee</w:t>
                  </w:r>
                  <w:proofErr w:type="spellEnd"/>
                  <w:r w:rsidRPr="00CA1E01">
                    <w:rPr>
                      <w:rFonts w:ascii="Times New Roman" w:eastAsia="ヒラギノ明朝 Pro W3" w:hAnsi="Times New Roman" w:cs="Times New Roman"/>
                      <w:szCs w:val="18"/>
                    </w:rPr>
                    <w:t>) bendi eklenmiştir.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 xml:space="preserve">“l) Katılımcı: OSB’nin onaylı sınırları </w:t>
                  </w:r>
                  <w:proofErr w:type="gramStart"/>
                  <w:r w:rsidRPr="00CA1E01">
                    <w:rPr>
                      <w:rFonts w:ascii="Times New Roman" w:eastAsia="ヒラギノ明朝 Pro W3" w:hAnsi="Times New Roman" w:cs="Times New Roman"/>
                      <w:szCs w:val="18"/>
                    </w:rPr>
                    <w:t>dahilinde</w:t>
                  </w:r>
                  <w:proofErr w:type="gramEnd"/>
                  <w:r w:rsidRPr="00CA1E01">
                    <w:rPr>
                      <w:rFonts w:ascii="Times New Roman" w:eastAsia="ヒラギノ明朝 Pro W3" w:hAnsi="Times New Roman" w:cs="Times New Roman"/>
                      <w:szCs w:val="18"/>
                    </w:rPr>
                    <w:t xml:space="preserve"> 4562 sayılı Organize Sanayi Bölgeleri Kanununa göre faaliyet gösteren 6948 sayılı Sanayi Sicil Kanunu gereğince verilen sanayi sicil belgesi dikkate alınarak sanayi katılımcısı ve sanayi harici katılımcı olmak üzere iki ayrı gruba ayrılan gerçek veya tüzel kişiyi,”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“ö) Onaylı sınırlar: 4562 sayılı Organize Sanayi Bölgeleri Kanununa göre Bilim, Sanayi ve Teknoloji Bakanlığı tarafından belirlenmiş sınırları,”</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w:t>
                  </w:r>
                  <w:proofErr w:type="spellStart"/>
                  <w:r w:rsidRPr="00CA1E01">
                    <w:rPr>
                      <w:rFonts w:ascii="Times New Roman" w:eastAsia="ヒラギノ明朝 Pro W3" w:hAnsi="Times New Roman" w:cs="Times New Roman"/>
                      <w:szCs w:val="18"/>
                    </w:rPr>
                    <w:t>ee</w:t>
                  </w:r>
                  <w:proofErr w:type="spellEnd"/>
                  <w:r w:rsidRPr="00CA1E01">
                    <w:rPr>
                      <w:rFonts w:ascii="Times New Roman" w:eastAsia="ヒラギノ明朝 Pro W3" w:hAnsi="Times New Roman" w:cs="Times New Roman"/>
                      <w:szCs w:val="18"/>
                    </w:rPr>
                    <w:t>) Üretim tesisi sistem kullanım bedeli: OSB dağıtım sistemine bağlı olup kendi elektriğini üreten OSB katılımcılarından alınacak olan bedeli,”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2 –</w:t>
                  </w:r>
                  <w:r w:rsidRPr="00CA1E01">
                    <w:rPr>
                      <w:rFonts w:ascii="Times New Roman" w:eastAsia="ヒラギノ明朝 Pro W3" w:hAnsi="Times New Roman" w:cs="Times New Roman"/>
                      <w:szCs w:val="18"/>
                    </w:rPr>
                    <w:t>Aynı Yönetmeliğin 5 inci maddesinin sonuna aşağıdaki yedinci fıkra eklenmiştir.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“(7) OSB bu Yönetmelikte belirtildiği şekilde onaylı sınırları içerisindeki dağıtım tesislerinin geçici kabul işlemlerinin tamamlanmasını müteakip, altmış takvim günü içerisinde elektrik dağıtım faaliyetinde bulunmak için Kuruma OSB dağıtım lisansı başvurusunda bulunur.”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3 –</w:t>
                  </w:r>
                  <w:r w:rsidRPr="00CA1E01">
                    <w:rPr>
                      <w:rFonts w:ascii="Times New Roman" w:eastAsia="ヒラギノ明朝 Pro W3" w:hAnsi="Times New Roman" w:cs="Times New Roman"/>
                      <w:szCs w:val="18"/>
                    </w:rPr>
                    <w:t xml:space="preserve"> Aynı Yönetmeliğin 7 </w:t>
                  </w:r>
                  <w:proofErr w:type="spellStart"/>
                  <w:r w:rsidRPr="00CA1E01">
                    <w:rPr>
                      <w:rFonts w:ascii="Times New Roman" w:eastAsia="ヒラギノ明朝 Pro W3" w:hAnsi="Times New Roman" w:cs="Times New Roman"/>
                      <w:szCs w:val="18"/>
                    </w:rPr>
                    <w:t>nci</w:t>
                  </w:r>
                  <w:proofErr w:type="spellEnd"/>
                  <w:r w:rsidRPr="00CA1E01">
                    <w:rPr>
                      <w:rFonts w:ascii="Times New Roman" w:eastAsia="ヒラギノ明朝 Pro W3" w:hAnsi="Times New Roman" w:cs="Times New Roman"/>
                      <w:szCs w:val="18"/>
                    </w:rPr>
                    <w:t xml:space="preserve"> maddesinin birinci ve ikinci fıkraları aşağıdaki şekilde değiştirilmiştir.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“(1) Lisans; OSB’nin talebi veya ilgili mevzuat kapsamındaki uygulamaların gerektirdiği durumlarda ya da yasal değişiklik hallerinde tadil edilebilir. Lisans sahibi tüzel kişinin adres ve unvan değişikliğine ilişkin lisans tadilleri ilgili ana hizmet birimi tarafından yapılır.”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“(2) OSB’nin talebiyle yapılacak tadillerde, Kurulun tadil hakkındaki olumlu kararının tebliğinin yapıldığı tarihten itibaren otuz gün içerisinde lisans tadil ücretinin Kurum hesabına yatırıldığına ilişkin belgenin Kuruma ibraz edilmesi kaydıyla, lisans tadili Kurum tarafından gerçekleştirilir. Bu yükümlülüğün, yukarıda belirtilen süre içerisinde yerine getirilmemesi halinde, lisans tadili talebi reddedilmiş sayılır. Reddedilmiş sayılan lisans tadil talebine ilişkin konuda, yeniden lisans tadil talebinde bulunulması halinde ise her defasında lisans tadil ücreti bir kat artırılarak uygulanır.”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4 –</w:t>
                  </w:r>
                  <w:r w:rsidRPr="00CA1E01">
                    <w:rPr>
                      <w:rFonts w:ascii="Times New Roman" w:eastAsia="ヒラギノ明朝 Pro W3" w:hAnsi="Times New Roman" w:cs="Times New Roman"/>
                      <w:szCs w:val="18"/>
                    </w:rPr>
                    <w:t xml:space="preserve"> Aynı Yönetmeliğin 14 üncü maddesinin birinci fıkrası aşağıdaki şekilde değiştirilmiş ve aynı maddenin sonuna aşağıdaki dördüncü fıkra eklenmiştir.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“(1) OSB’nin katılımcılarına uygulayacağı bedeller;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a) Elektrik enerjisi bedeli,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b) Dağıtım bedeli,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c) Üretim tesisi sistem kullanım bedeli,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ç) TEİAŞ’a ve/veya dağıtım lisansı sahibi tüzel kişiye ödenen, sistem kullanım ve sistem işletimi ile ilgili bedeller,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d) OSB bağlantı bedeli,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e) OSB güvence bedeli,</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f) OSB kesme-bağlama bedelinden</w:t>
                  </w:r>
                  <w:r w:rsidR="00945EF5">
                    <w:rPr>
                      <w:rFonts w:ascii="Times New Roman" w:eastAsia="ヒラギノ明朝 Pro W3" w:hAnsi="Times New Roman" w:cs="Times New Roman"/>
                      <w:szCs w:val="18"/>
                    </w:rPr>
                    <w:t xml:space="preserve"> </w:t>
                  </w:r>
                  <w:r w:rsidRPr="00CA1E01">
                    <w:rPr>
                      <w:rFonts w:ascii="Times New Roman" w:eastAsia="ヒラギノ明朝 Pro W3" w:hAnsi="Times New Roman" w:cs="Times New Roman"/>
                      <w:szCs w:val="18"/>
                    </w:rPr>
                    <w:t>oluşur.”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 xml:space="preserve">“(4) Üretim tesisi sistem kullanım bedeli, OSB dağıtım sistemine bağlı olup kendi tüketim tesisi ve/veya tesisleri ve/veya serbest tüketicilerine ürettiği elektriği </w:t>
                  </w:r>
                  <w:proofErr w:type="spellStart"/>
                  <w:r w:rsidRPr="00CA1E01">
                    <w:rPr>
                      <w:rFonts w:ascii="Times New Roman" w:eastAsia="ヒラギノ明朝 Pro W3" w:hAnsi="Times New Roman" w:cs="Times New Roman"/>
                      <w:szCs w:val="18"/>
                    </w:rPr>
                    <w:t>barasından</w:t>
                  </w:r>
                  <w:proofErr w:type="spellEnd"/>
                  <w:r w:rsidRPr="00CA1E01">
                    <w:rPr>
                      <w:rFonts w:ascii="Times New Roman" w:eastAsia="ヒラギノ明朝 Pro W3" w:hAnsi="Times New Roman" w:cs="Times New Roman"/>
                      <w:szCs w:val="18"/>
                    </w:rPr>
                    <w:t xml:space="preserve"> direkt hat ile </w:t>
                  </w:r>
                  <w:bookmarkStart w:id="0" w:name="_GoBack"/>
                  <w:bookmarkEnd w:id="0"/>
                  <w:r w:rsidRPr="00CA1E01">
                    <w:rPr>
                      <w:rFonts w:ascii="Times New Roman" w:eastAsia="ヒラギノ明朝 Pro W3" w:hAnsi="Times New Roman" w:cs="Times New Roman"/>
                      <w:szCs w:val="18"/>
                    </w:rPr>
                    <w:lastRenderedPageBreak/>
                    <w:t>sağlayan üreticilerden, kW bazında uygulanacak olan emre amade dağıtım şebekesi kapasite bedeli karşılığı olarak alınır. Üretim tesisi sistem kullanım bedeli önerisi, dağıtım bedeli önerisi ile birlikte Yönetmelik ekindeki Tablo-1 içerisinde Kuruma yıllık olarak sunulur.”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5 –</w:t>
                  </w:r>
                  <w:r w:rsidRPr="00CA1E01">
                    <w:rPr>
                      <w:rFonts w:ascii="Times New Roman" w:eastAsia="ヒラギノ明朝 Pro W3" w:hAnsi="Times New Roman" w:cs="Times New Roman"/>
                      <w:szCs w:val="18"/>
                    </w:rPr>
                    <w:t xml:space="preserve"> Aynı Yönetmeliğin 16 </w:t>
                  </w:r>
                  <w:proofErr w:type="spellStart"/>
                  <w:r w:rsidRPr="00CA1E01">
                    <w:rPr>
                      <w:rFonts w:ascii="Times New Roman" w:eastAsia="ヒラギノ明朝 Pro W3" w:hAnsi="Times New Roman" w:cs="Times New Roman"/>
                      <w:szCs w:val="18"/>
                    </w:rPr>
                    <w:t>ncı</w:t>
                  </w:r>
                  <w:proofErr w:type="spellEnd"/>
                  <w:r w:rsidRPr="00CA1E01">
                    <w:rPr>
                      <w:rFonts w:ascii="Times New Roman" w:eastAsia="ヒラギノ明朝 Pro W3" w:hAnsi="Times New Roman" w:cs="Times New Roman"/>
                      <w:szCs w:val="18"/>
                    </w:rPr>
                    <w:t xml:space="preserve"> maddesinin birinci, altıncı ve sekizinci fıkraları aşağıdaki şekilde değiştirilmiş ve aynı maddenin sonuna aşağıdaki onuncu fıkra eklenmiştir.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 xml:space="preserve">“(1) Lisans sahibi OSB tarafından, onaylı sınırları içerisinde yıllık olarak uygulanacak dağıtım bedeli önerisi, bu Yönetmeliğin ekindeki Tablo-1’e uygun olarak sanayi ve sanayi harici katılımcılar bazında olmak üzere her yıl Ekim ayı sonuna kadar hazırlanarak Kurul onayı alınmak üzere Kuruma sunulur. Kurul, OSB onaylı sınırları içerisinde bir sonraki yıl için uygulanacak dağıtım bedeli ile ilgili öneriyi inceler, gerekli görmesi halinde her türlü ek bilgi ve belge isteyebilir ve uygun bulması halinde 31 Aralık tarihine kadar onaylar.”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 xml:space="preserve">“(6) OSB tarafından, Tablo-1’e uygun olarak Kuruma önerilmiş ve Kurul tarafından onaylanmış olan dağıtım bedelinden elde edilmesi öngörülen gelir ile gerçekleşen gelir arasında oluşabilecek fark, gelir farkı düzeltme bileşeni olarak dağıtım bedellerinin uygulandığı yılın gerçekleşmiş verileri oluştuktan sonra takip eden ikinci yılın dağıtım bedelinin hesaplanmasında dikkate alınır. Bu hesaplama için, Tablo-1’de yer alan öngörüler haricinde gelir farkı düzeltme bileşeninin hesaplanmasına esas olmak üzere önceki yıllara ait fiili gerçekleşmeleri gösteren bilgiler de birlikte sunulur.”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“(8) TEİAŞ’a ve/veya dağıtım lisansı sahibi tüzel kişiye ödenen sistem kullanım ve sistem işletim ile ilgili bedeller eşit taraflar arasında ayrım gözetmeksizin katılımcılara tükettikleri güç ve/veya enerji miktarına göre doğrudan yansıtılır.”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 xml:space="preserve">“(10) Dağıtım bedeli önerisini ilgili uygulama yılının Ekim ayı sonuna kadar bu madde çerçevesinde hazırlayarak Kuruma sunmayan veya Kurul tarafından önerileri uygun bulunmayarak 31 Aralık tarihine kadar onaylanmayan OSB’lerde Kurul tarafından belirlenen dağıtım bedelleri uygulanır.”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6 –</w:t>
                  </w:r>
                  <w:r w:rsidRPr="00CA1E01">
                    <w:rPr>
                      <w:rFonts w:ascii="Times New Roman" w:eastAsia="ヒラギノ明朝 Pro W3" w:hAnsi="Times New Roman" w:cs="Times New Roman"/>
                      <w:szCs w:val="18"/>
                    </w:rPr>
                    <w:t xml:space="preserve"> Aynı Yönetmeliğin 23 üncü maddesinin sonuna aşağıdaki yedinci fıkra eklenmiştir.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szCs w:val="18"/>
                    </w:rPr>
                    <w:t xml:space="preserve">“(7) 6948 sayılı Sanayi Sicil Kanunu gereğince sanayi sicil belgesine sahip olan sanayi katılımcıları ile sanayi sicil belgesine sahip olmayan sanayi harici katılımcılar için Kurul tarafından onaylanan dağıtım bedelleri uygulanır. Mevcut ve yeni katılımcıların sanayi sicil belgelerinin sunulmasına ilişkin işlemler ilgili OSB tüzel kişiliğince belirlenen usule göre yerine getirilir.” </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 xml:space="preserve">MADDE 7 – </w:t>
                  </w:r>
                  <w:r w:rsidRPr="00CA1E01">
                    <w:rPr>
                      <w:rFonts w:ascii="Times New Roman" w:eastAsia="ヒラギノ明朝 Pro W3" w:hAnsi="Times New Roman" w:cs="Times New Roman"/>
                      <w:szCs w:val="18"/>
                    </w:rPr>
                    <w:t xml:space="preserve">Aynı Yönetmeliğe aşağıdaki geçici 7 </w:t>
                  </w:r>
                  <w:proofErr w:type="spellStart"/>
                  <w:r w:rsidRPr="00CA1E01">
                    <w:rPr>
                      <w:rFonts w:ascii="Times New Roman" w:eastAsia="ヒラギノ明朝 Pro W3" w:hAnsi="Times New Roman" w:cs="Times New Roman"/>
                      <w:szCs w:val="18"/>
                    </w:rPr>
                    <w:t>nci</w:t>
                  </w:r>
                  <w:proofErr w:type="spellEnd"/>
                  <w:r w:rsidRPr="00CA1E01">
                    <w:rPr>
                      <w:rFonts w:ascii="Times New Roman" w:eastAsia="ヒラギノ明朝 Pro W3" w:hAnsi="Times New Roman" w:cs="Times New Roman"/>
                      <w:szCs w:val="18"/>
                    </w:rPr>
                    <w:t xml:space="preserve"> madde eklenmiştir.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b/>
                      <w:szCs w:val="18"/>
                    </w:rPr>
                  </w:pPr>
                  <w:r w:rsidRPr="00CA1E01">
                    <w:rPr>
                      <w:rFonts w:ascii="Times New Roman" w:eastAsia="ヒラギノ明朝 Pro W3" w:hAnsi="Times New Roman" w:cs="Times New Roman"/>
                      <w:b/>
                      <w:szCs w:val="18"/>
                    </w:rPr>
                    <w:t>“Geçiş hükmü</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GEÇİCİ MADDE 7 –</w:t>
                  </w:r>
                  <w:r w:rsidRPr="00CA1E01">
                    <w:rPr>
                      <w:rFonts w:ascii="Times New Roman" w:eastAsia="ヒラギノ明朝 Pro W3" w:hAnsi="Times New Roman" w:cs="Times New Roman"/>
                      <w:szCs w:val="18"/>
                    </w:rPr>
                    <w:t xml:space="preserve"> (1) Bu Yönetmeliğin, 2012 uygulama yılı için Kurul tarafından onaylanmış dağıtım bedellerine uygulanmaz ve 2012 uygulama yılı için onaylanmış dağıtım bedellerinde bu Yönetmelik hükümlerine istinaden değişiklik talep edilemez.”</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8 –</w:t>
                  </w:r>
                  <w:r w:rsidRPr="00CA1E01">
                    <w:rPr>
                      <w:rFonts w:ascii="Times New Roman" w:eastAsia="ヒラギノ明朝 Pro W3" w:hAnsi="Times New Roman" w:cs="Times New Roman"/>
                      <w:szCs w:val="18"/>
                    </w:rPr>
                    <w:t xml:space="preserve"> Aynı Yönetmeliğin ekinde yer alan Tablo-1 ekteki şekilde değiştirilmiştir.</w:t>
                  </w:r>
                </w:p>
                <w:p w:rsidR="00CA1E01" w:rsidRP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MADDE 9 –</w:t>
                  </w:r>
                  <w:r w:rsidRPr="00CA1E01">
                    <w:rPr>
                      <w:rFonts w:ascii="Times New Roman" w:eastAsia="ヒラギノ明朝 Pro W3" w:hAnsi="Times New Roman" w:cs="Times New Roman"/>
                      <w:szCs w:val="18"/>
                    </w:rPr>
                    <w:t xml:space="preserve"> Bu Yönetmelik yayımı tarihinde yürürlüğe girer.</w:t>
                  </w:r>
                </w:p>
                <w:p w:rsidR="00CA1E01" w:rsidRDefault="00CA1E01" w:rsidP="004D22F1">
                  <w:pPr>
                    <w:tabs>
                      <w:tab w:val="left" w:pos="566"/>
                    </w:tabs>
                    <w:spacing w:after="0"/>
                    <w:ind w:firstLine="566"/>
                    <w:jc w:val="both"/>
                    <w:rPr>
                      <w:rFonts w:ascii="Times New Roman" w:eastAsia="ヒラギノ明朝 Pro W3" w:hAnsi="Times New Roman" w:cs="Times New Roman"/>
                      <w:szCs w:val="18"/>
                    </w:rPr>
                  </w:pPr>
                  <w:r w:rsidRPr="00CA1E01">
                    <w:rPr>
                      <w:rFonts w:ascii="Times New Roman" w:eastAsia="ヒラギノ明朝 Pro W3" w:hAnsi="Times New Roman" w:cs="Times New Roman"/>
                      <w:b/>
                      <w:szCs w:val="18"/>
                    </w:rPr>
                    <w:t xml:space="preserve">MADDE 10 – </w:t>
                  </w:r>
                  <w:r w:rsidRPr="00CA1E01">
                    <w:rPr>
                      <w:rFonts w:ascii="Times New Roman" w:eastAsia="ヒラギノ明朝 Pro W3" w:hAnsi="Times New Roman" w:cs="Times New Roman"/>
                      <w:szCs w:val="18"/>
                    </w:rPr>
                    <w:t>Bu Yönetmelik hükümlerini Enerji Piyasası Düzenleme Kurulu Başkanı yürütür.</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815"/>
                    <w:gridCol w:w="4249"/>
                  </w:tblGrid>
                  <w:tr w:rsidR="00CA1E01" w:rsidRPr="00CA1E01" w:rsidTr="005C2D08">
                    <w:trPr>
                      <w:jc w:val="center"/>
                    </w:trPr>
                    <w:tc>
                      <w:tcPr>
                        <w:tcW w:w="8500" w:type="dxa"/>
                        <w:gridSpan w:val="3"/>
                        <w:tcBorders>
                          <w:top w:val="single" w:sz="4" w:space="0" w:color="auto"/>
                          <w:left w:val="single" w:sz="4" w:space="0" w:color="auto"/>
                          <w:bottom w:val="nil"/>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b/>
                            <w:sz w:val="18"/>
                            <w:szCs w:val="18"/>
                          </w:rPr>
                        </w:pPr>
                        <w:r w:rsidRPr="00CA1E01">
                          <w:rPr>
                            <w:rFonts w:ascii="Times New Roman" w:eastAsia="ヒラギノ明朝 Pro W3" w:hAnsi="Times" w:cs="Times New Roman"/>
                            <w:b/>
                            <w:sz w:val="18"/>
                            <w:szCs w:val="18"/>
                          </w:rPr>
                          <w:t>Y</w:t>
                        </w:r>
                        <w:r w:rsidRPr="00CA1E01">
                          <w:rPr>
                            <w:rFonts w:ascii="Times New Roman" w:eastAsia="ヒラギノ明朝 Pro W3" w:hAnsi="Times" w:cs="Times"/>
                            <w:b/>
                            <w:sz w:val="18"/>
                            <w:szCs w:val="18"/>
                          </w:rPr>
                          <w:t>ö</w:t>
                        </w:r>
                        <w:r w:rsidRPr="00CA1E01">
                          <w:rPr>
                            <w:rFonts w:ascii="Times New Roman" w:eastAsia="ヒラギノ明朝 Pro W3" w:hAnsi="Times" w:cs="Times New Roman"/>
                            <w:b/>
                            <w:sz w:val="18"/>
                            <w:szCs w:val="18"/>
                          </w:rPr>
                          <w:t>netmeli</w:t>
                        </w:r>
                        <w:r w:rsidRPr="00CA1E01">
                          <w:rPr>
                            <w:rFonts w:ascii="Times New Roman" w:eastAsia="ヒラギノ明朝 Pro W3" w:hAnsi="Times" w:cs="Times"/>
                            <w:b/>
                            <w:sz w:val="18"/>
                            <w:szCs w:val="18"/>
                          </w:rPr>
                          <w:t>ğ</w:t>
                        </w:r>
                        <w:r w:rsidRPr="00CA1E01">
                          <w:rPr>
                            <w:rFonts w:ascii="Times New Roman" w:eastAsia="ヒラギノ明朝 Pro W3" w:hAnsi="Times" w:cs="Times New Roman"/>
                            <w:b/>
                            <w:sz w:val="18"/>
                            <w:szCs w:val="18"/>
                          </w:rPr>
                          <w:t>in Yay</w:t>
                        </w:r>
                        <w:r w:rsidRPr="00CA1E01">
                          <w:rPr>
                            <w:rFonts w:ascii="Times New Roman" w:eastAsia="ヒラギノ明朝 Pro W3" w:hAnsi="Times" w:cs="Times"/>
                            <w:b/>
                            <w:sz w:val="18"/>
                            <w:szCs w:val="18"/>
                          </w:rPr>
                          <w:t>ı</w:t>
                        </w:r>
                        <w:r w:rsidRPr="00CA1E01">
                          <w:rPr>
                            <w:rFonts w:ascii="Times New Roman" w:eastAsia="ヒラギノ明朝 Pro W3" w:hAnsi="Times" w:cs="Times New Roman"/>
                            <w:b/>
                            <w:sz w:val="18"/>
                            <w:szCs w:val="18"/>
                          </w:rPr>
                          <w:t>mland</w:t>
                        </w:r>
                        <w:r w:rsidRPr="00CA1E01">
                          <w:rPr>
                            <w:rFonts w:ascii="Times New Roman" w:eastAsia="ヒラギノ明朝 Pro W3" w:hAnsi="Times" w:cs="Times"/>
                            <w:b/>
                            <w:sz w:val="18"/>
                            <w:szCs w:val="18"/>
                          </w:rPr>
                          <w:t>ığı</w:t>
                        </w:r>
                        <w:r w:rsidRPr="00CA1E01">
                          <w:rPr>
                            <w:rFonts w:ascii="Times New Roman" w:eastAsia="ヒラギノ明朝 Pro W3" w:hAnsi="Times" w:cs="Times New Roman"/>
                            <w:b/>
                            <w:sz w:val="18"/>
                            <w:szCs w:val="18"/>
                          </w:rPr>
                          <w:t xml:space="preserve"> Resm</w:t>
                        </w:r>
                        <w:r w:rsidRPr="00CA1E01">
                          <w:rPr>
                            <w:rFonts w:ascii="Times New Roman" w:eastAsia="ヒラギノ明朝 Pro W3" w:hAnsi="Times" w:cs="Times"/>
                            <w:b/>
                            <w:sz w:val="18"/>
                            <w:szCs w:val="18"/>
                          </w:rPr>
                          <w:t>î</w:t>
                        </w:r>
                        <w:r w:rsidRPr="00CA1E01">
                          <w:rPr>
                            <w:rFonts w:ascii="Times New Roman" w:eastAsia="ヒラギノ明朝 Pro W3" w:hAnsi="Times" w:cs="Times New Roman"/>
                            <w:b/>
                            <w:sz w:val="18"/>
                            <w:szCs w:val="18"/>
                          </w:rPr>
                          <w:t xml:space="preserve"> Gazete'nin</w:t>
                        </w:r>
                      </w:p>
                    </w:tc>
                  </w:tr>
                  <w:tr w:rsidR="00CA1E01" w:rsidRPr="00CA1E01" w:rsidTr="005C2D08">
                    <w:trPr>
                      <w:jc w:val="center"/>
                    </w:trPr>
                    <w:tc>
                      <w:tcPr>
                        <w:tcW w:w="4251" w:type="dxa"/>
                        <w:gridSpan w:val="2"/>
                        <w:tcBorders>
                          <w:top w:val="nil"/>
                          <w:left w:val="single" w:sz="4" w:space="0" w:color="auto"/>
                          <w:bottom w:val="single" w:sz="4" w:space="0" w:color="auto"/>
                          <w:right w:val="nil"/>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b/>
                            <w:sz w:val="18"/>
                            <w:szCs w:val="18"/>
                          </w:rPr>
                        </w:pPr>
                        <w:r w:rsidRPr="00CA1E01">
                          <w:rPr>
                            <w:rFonts w:ascii="Times New Roman" w:eastAsia="ヒラギノ明朝 Pro W3" w:hAnsi="Times" w:cs="Times New Roman"/>
                            <w:b/>
                            <w:sz w:val="18"/>
                            <w:szCs w:val="18"/>
                          </w:rPr>
                          <w:t>Tarihi</w:t>
                        </w:r>
                      </w:p>
                    </w:tc>
                    <w:tc>
                      <w:tcPr>
                        <w:tcW w:w="4249" w:type="dxa"/>
                        <w:tcBorders>
                          <w:top w:val="nil"/>
                          <w:left w:val="nil"/>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b/>
                            <w:sz w:val="18"/>
                            <w:szCs w:val="18"/>
                          </w:rPr>
                        </w:pPr>
                        <w:r w:rsidRPr="00CA1E01">
                          <w:rPr>
                            <w:rFonts w:ascii="Times New Roman" w:eastAsia="ヒラギノ明朝 Pro W3" w:hAnsi="Times" w:cs="Times New Roman"/>
                            <w:b/>
                            <w:sz w:val="18"/>
                            <w:szCs w:val="18"/>
                          </w:rPr>
                          <w:t>Say</w:t>
                        </w:r>
                        <w:r w:rsidRPr="00CA1E01">
                          <w:rPr>
                            <w:rFonts w:ascii="Times New Roman" w:eastAsia="ヒラギノ明朝 Pro W3" w:hAnsi="Times" w:cs="Times"/>
                            <w:b/>
                            <w:sz w:val="18"/>
                            <w:szCs w:val="18"/>
                          </w:rPr>
                          <w:t>ı</w:t>
                        </w:r>
                        <w:r w:rsidRPr="00CA1E01">
                          <w:rPr>
                            <w:rFonts w:ascii="Times New Roman" w:eastAsia="ヒラギノ明朝 Pro W3" w:hAnsi="Times" w:cs="Times New Roman"/>
                            <w:b/>
                            <w:sz w:val="18"/>
                            <w:szCs w:val="18"/>
                          </w:rPr>
                          <w:t>s</w:t>
                        </w:r>
                        <w:r w:rsidRPr="00CA1E01">
                          <w:rPr>
                            <w:rFonts w:ascii="Times New Roman" w:eastAsia="ヒラギノ明朝 Pro W3" w:hAnsi="Times" w:cs="Times"/>
                            <w:b/>
                            <w:sz w:val="18"/>
                            <w:szCs w:val="18"/>
                          </w:rPr>
                          <w:t>ı</w:t>
                        </w:r>
                      </w:p>
                    </w:tc>
                  </w:tr>
                  <w:tr w:rsidR="00CA1E01" w:rsidRPr="00CA1E01" w:rsidTr="005C2D08">
                    <w:trPr>
                      <w:jc w:val="center"/>
                    </w:trPr>
                    <w:tc>
                      <w:tcPr>
                        <w:tcW w:w="4251" w:type="dxa"/>
                        <w:gridSpan w:val="2"/>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sz w:val="18"/>
                            <w:szCs w:val="18"/>
                          </w:rPr>
                        </w:pPr>
                        <w:proofErr w:type="gramStart"/>
                        <w:r w:rsidRPr="00CA1E01">
                          <w:rPr>
                            <w:rFonts w:ascii="Times New Roman" w:eastAsia="ヒラギノ明朝 Pro W3" w:hAnsi="Times" w:cs="Times New Roman"/>
                            <w:sz w:val="18"/>
                            <w:szCs w:val="18"/>
                          </w:rPr>
                          <w:t>29/12/2006</w:t>
                        </w:r>
                        <w:proofErr w:type="gramEnd"/>
                      </w:p>
                    </w:tc>
                    <w:tc>
                      <w:tcPr>
                        <w:tcW w:w="4249"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sz w:val="18"/>
                            <w:szCs w:val="18"/>
                          </w:rPr>
                        </w:pPr>
                        <w:r w:rsidRPr="00CA1E01">
                          <w:rPr>
                            <w:rFonts w:ascii="Times New Roman" w:eastAsia="ヒラギノ明朝 Pro W3" w:hAnsi="Times" w:cs="Times New Roman"/>
                            <w:sz w:val="18"/>
                            <w:szCs w:val="18"/>
                          </w:rPr>
                          <w:t>26391</w:t>
                        </w:r>
                      </w:p>
                    </w:tc>
                  </w:tr>
                  <w:tr w:rsidR="00CA1E01" w:rsidRPr="00CA1E01" w:rsidTr="005C2D08">
                    <w:trPr>
                      <w:jc w:val="center"/>
                    </w:trPr>
                    <w:tc>
                      <w:tcPr>
                        <w:tcW w:w="8500" w:type="dxa"/>
                        <w:gridSpan w:val="3"/>
                        <w:tcBorders>
                          <w:top w:val="single" w:sz="4" w:space="0" w:color="auto"/>
                          <w:left w:val="single" w:sz="4" w:space="0" w:color="auto"/>
                          <w:bottom w:val="nil"/>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b/>
                            <w:sz w:val="18"/>
                            <w:szCs w:val="18"/>
                          </w:rPr>
                        </w:pPr>
                        <w:r w:rsidRPr="00CA1E01">
                          <w:rPr>
                            <w:rFonts w:ascii="Times New Roman" w:eastAsia="ヒラギノ明朝 Pro W3" w:hAnsi="Times" w:cs="Times New Roman"/>
                            <w:b/>
                            <w:sz w:val="18"/>
                            <w:szCs w:val="18"/>
                          </w:rPr>
                          <w:t>Y</w:t>
                        </w:r>
                        <w:r w:rsidRPr="00CA1E01">
                          <w:rPr>
                            <w:rFonts w:ascii="Times New Roman" w:eastAsia="ヒラギノ明朝 Pro W3" w:hAnsi="Times" w:cs="Times"/>
                            <w:b/>
                            <w:sz w:val="18"/>
                            <w:szCs w:val="18"/>
                          </w:rPr>
                          <w:t>ö</w:t>
                        </w:r>
                        <w:r w:rsidRPr="00CA1E01">
                          <w:rPr>
                            <w:rFonts w:ascii="Times New Roman" w:eastAsia="ヒラギノ明朝 Pro W3" w:hAnsi="Times" w:cs="Times New Roman"/>
                            <w:b/>
                            <w:sz w:val="18"/>
                            <w:szCs w:val="18"/>
                          </w:rPr>
                          <w:t>netmelikte De</w:t>
                        </w:r>
                        <w:r w:rsidRPr="00CA1E01">
                          <w:rPr>
                            <w:rFonts w:ascii="Times New Roman" w:eastAsia="ヒラギノ明朝 Pro W3" w:hAnsi="Times" w:cs="Times"/>
                            <w:b/>
                            <w:sz w:val="18"/>
                            <w:szCs w:val="18"/>
                          </w:rPr>
                          <w:t>ğ</w:t>
                        </w:r>
                        <w:r w:rsidRPr="00CA1E01">
                          <w:rPr>
                            <w:rFonts w:ascii="Times New Roman" w:eastAsia="ヒラギノ明朝 Pro W3" w:hAnsi="Times" w:cs="Times New Roman"/>
                            <w:b/>
                            <w:sz w:val="18"/>
                            <w:szCs w:val="18"/>
                          </w:rPr>
                          <w:t>i</w:t>
                        </w:r>
                        <w:r w:rsidRPr="00CA1E01">
                          <w:rPr>
                            <w:rFonts w:ascii="Times New Roman" w:eastAsia="ヒラギノ明朝 Pro W3" w:hAnsi="Times" w:cs="Times"/>
                            <w:b/>
                            <w:sz w:val="18"/>
                            <w:szCs w:val="18"/>
                          </w:rPr>
                          <w:t>ş</w:t>
                        </w:r>
                        <w:r w:rsidRPr="00CA1E01">
                          <w:rPr>
                            <w:rFonts w:ascii="Times New Roman" w:eastAsia="ヒラギノ明朝 Pro W3" w:hAnsi="Times" w:cs="Times New Roman"/>
                            <w:b/>
                            <w:sz w:val="18"/>
                            <w:szCs w:val="18"/>
                          </w:rPr>
                          <w:t>iklik Yapan Y</w:t>
                        </w:r>
                        <w:r w:rsidRPr="00CA1E01">
                          <w:rPr>
                            <w:rFonts w:ascii="Times New Roman" w:eastAsia="ヒラギノ明朝 Pro W3" w:hAnsi="Times" w:cs="Times"/>
                            <w:b/>
                            <w:sz w:val="18"/>
                            <w:szCs w:val="18"/>
                          </w:rPr>
                          <w:t>ö</w:t>
                        </w:r>
                        <w:r w:rsidRPr="00CA1E01">
                          <w:rPr>
                            <w:rFonts w:ascii="Times New Roman" w:eastAsia="ヒラギノ明朝 Pro W3" w:hAnsi="Times" w:cs="Times New Roman"/>
                            <w:b/>
                            <w:sz w:val="18"/>
                            <w:szCs w:val="18"/>
                          </w:rPr>
                          <w:t>netmeliklerin Yay</w:t>
                        </w:r>
                        <w:r w:rsidRPr="00CA1E01">
                          <w:rPr>
                            <w:rFonts w:ascii="Times New Roman" w:eastAsia="ヒラギノ明朝 Pro W3" w:hAnsi="Times" w:cs="Times"/>
                            <w:b/>
                            <w:sz w:val="18"/>
                            <w:szCs w:val="18"/>
                          </w:rPr>
                          <w:t>ı</w:t>
                        </w:r>
                        <w:r w:rsidRPr="00CA1E01">
                          <w:rPr>
                            <w:rFonts w:ascii="Times New Roman" w:eastAsia="ヒラギノ明朝 Pro W3" w:hAnsi="Times" w:cs="Times New Roman"/>
                            <w:b/>
                            <w:sz w:val="18"/>
                            <w:szCs w:val="18"/>
                          </w:rPr>
                          <w:t>mland</w:t>
                        </w:r>
                        <w:r w:rsidRPr="00CA1E01">
                          <w:rPr>
                            <w:rFonts w:ascii="Times New Roman" w:eastAsia="ヒラギノ明朝 Pro W3" w:hAnsi="Times" w:cs="Times"/>
                            <w:b/>
                            <w:sz w:val="18"/>
                            <w:szCs w:val="18"/>
                          </w:rPr>
                          <w:t>ığı</w:t>
                        </w:r>
                        <w:r w:rsidRPr="00CA1E01">
                          <w:rPr>
                            <w:rFonts w:ascii="Times New Roman" w:eastAsia="ヒラギノ明朝 Pro W3" w:hAnsi="Times" w:cs="Times New Roman"/>
                            <w:b/>
                            <w:sz w:val="18"/>
                            <w:szCs w:val="18"/>
                          </w:rPr>
                          <w:t xml:space="preserve"> Resm</w:t>
                        </w:r>
                        <w:r w:rsidRPr="00CA1E01">
                          <w:rPr>
                            <w:rFonts w:ascii="Times New Roman" w:eastAsia="ヒラギノ明朝 Pro W3" w:hAnsi="Times" w:cs="Times"/>
                            <w:b/>
                            <w:sz w:val="18"/>
                            <w:szCs w:val="18"/>
                          </w:rPr>
                          <w:t>î</w:t>
                        </w:r>
                        <w:r w:rsidRPr="00CA1E01">
                          <w:rPr>
                            <w:rFonts w:ascii="Times New Roman" w:eastAsia="ヒラギノ明朝 Pro W3" w:hAnsi="Times" w:cs="Times New Roman"/>
                            <w:b/>
                            <w:sz w:val="18"/>
                            <w:szCs w:val="18"/>
                          </w:rPr>
                          <w:t xml:space="preserve"> Gazete'nin</w:t>
                        </w:r>
                      </w:p>
                    </w:tc>
                  </w:tr>
                  <w:tr w:rsidR="00CA1E01" w:rsidRPr="00CA1E01" w:rsidTr="005C2D08">
                    <w:trPr>
                      <w:jc w:val="center"/>
                    </w:trPr>
                    <w:tc>
                      <w:tcPr>
                        <w:tcW w:w="4251" w:type="dxa"/>
                        <w:gridSpan w:val="2"/>
                        <w:tcBorders>
                          <w:top w:val="nil"/>
                          <w:left w:val="single" w:sz="4" w:space="0" w:color="auto"/>
                          <w:bottom w:val="single" w:sz="4" w:space="0" w:color="auto"/>
                          <w:right w:val="nil"/>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b/>
                            <w:sz w:val="18"/>
                            <w:szCs w:val="18"/>
                          </w:rPr>
                        </w:pPr>
                        <w:r w:rsidRPr="00CA1E01">
                          <w:rPr>
                            <w:rFonts w:ascii="Times New Roman" w:eastAsia="ヒラギノ明朝 Pro W3" w:hAnsi="Times" w:cs="Times New Roman"/>
                            <w:b/>
                            <w:sz w:val="18"/>
                            <w:szCs w:val="18"/>
                          </w:rPr>
                          <w:t>Tarihi</w:t>
                        </w:r>
                      </w:p>
                    </w:tc>
                    <w:tc>
                      <w:tcPr>
                        <w:tcW w:w="4249" w:type="dxa"/>
                        <w:tcBorders>
                          <w:top w:val="nil"/>
                          <w:left w:val="nil"/>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b/>
                            <w:sz w:val="18"/>
                            <w:szCs w:val="18"/>
                          </w:rPr>
                        </w:pPr>
                        <w:r w:rsidRPr="00CA1E01">
                          <w:rPr>
                            <w:rFonts w:ascii="Times New Roman" w:eastAsia="ヒラギノ明朝 Pro W3" w:hAnsi="Times" w:cs="Times New Roman"/>
                            <w:b/>
                            <w:sz w:val="18"/>
                            <w:szCs w:val="18"/>
                          </w:rPr>
                          <w:t>Say</w:t>
                        </w:r>
                        <w:r w:rsidRPr="00CA1E01">
                          <w:rPr>
                            <w:rFonts w:ascii="Times New Roman" w:eastAsia="ヒラギノ明朝 Pro W3" w:hAnsi="Times" w:cs="Times"/>
                            <w:b/>
                            <w:sz w:val="18"/>
                            <w:szCs w:val="18"/>
                          </w:rPr>
                          <w:t>ı</w:t>
                        </w:r>
                        <w:r w:rsidRPr="00CA1E01">
                          <w:rPr>
                            <w:rFonts w:ascii="Times New Roman" w:eastAsia="ヒラギノ明朝 Pro W3" w:hAnsi="Times" w:cs="Times New Roman"/>
                            <w:b/>
                            <w:sz w:val="18"/>
                            <w:szCs w:val="18"/>
                          </w:rPr>
                          <w:t>s</w:t>
                        </w:r>
                        <w:r w:rsidRPr="00CA1E01">
                          <w:rPr>
                            <w:rFonts w:ascii="Times New Roman" w:eastAsia="ヒラギノ明朝 Pro W3" w:hAnsi="Times" w:cs="Times"/>
                            <w:b/>
                            <w:sz w:val="18"/>
                            <w:szCs w:val="18"/>
                          </w:rPr>
                          <w:t>ı</w:t>
                        </w:r>
                      </w:p>
                    </w:tc>
                  </w:tr>
                  <w:tr w:rsidR="00CA1E01" w:rsidRPr="00CA1E01" w:rsidTr="005C2D08">
                    <w:trPr>
                      <w:jc w:val="center"/>
                    </w:trPr>
                    <w:tc>
                      <w:tcPr>
                        <w:tcW w:w="436"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sz w:val="18"/>
                            <w:szCs w:val="18"/>
                          </w:rPr>
                        </w:pPr>
                        <w:r w:rsidRPr="00CA1E01">
                          <w:rPr>
                            <w:rFonts w:ascii="Times New Roman" w:eastAsia="ヒラギノ明朝 Pro W3" w:hAnsi="Times" w:cs="Times New Roman"/>
                            <w:sz w:val="18"/>
                            <w:szCs w:val="18"/>
                          </w:rPr>
                          <w:t>1-</w:t>
                        </w:r>
                      </w:p>
                    </w:tc>
                    <w:tc>
                      <w:tcPr>
                        <w:tcW w:w="3815"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CA1E01">
                          <w:rPr>
                            <w:rFonts w:ascii="Times New Roman" w:eastAsia="ヒラギノ明朝 Pro W3" w:hAnsi="Times" w:cs="Times New Roman"/>
                            <w:sz w:val="18"/>
                            <w:szCs w:val="18"/>
                          </w:rPr>
                          <w:t>10/10/2007</w:t>
                        </w:r>
                        <w:proofErr w:type="gramEnd"/>
                      </w:p>
                    </w:tc>
                    <w:tc>
                      <w:tcPr>
                        <w:tcW w:w="4249"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sz w:val="18"/>
                            <w:szCs w:val="18"/>
                          </w:rPr>
                        </w:pPr>
                        <w:r w:rsidRPr="00CA1E01">
                          <w:rPr>
                            <w:rFonts w:ascii="Times New Roman" w:eastAsia="ヒラギノ明朝 Pro W3" w:hAnsi="Times" w:cs="Times New Roman"/>
                            <w:sz w:val="18"/>
                            <w:szCs w:val="18"/>
                          </w:rPr>
                          <w:t>26669</w:t>
                        </w:r>
                      </w:p>
                    </w:tc>
                  </w:tr>
                  <w:tr w:rsidR="00CA1E01" w:rsidRPr="00CA1E01" w:rsidTr="005C2D08">
                    <w:trPr>
                      <w:jc w:val="center"/>
                    </w:trPr>
                    <w:tc>
                      <w:tcPr>
                        <w:tcW w:w="436"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sz w:val="18"/>
                            <w:szCs w:val="18"/>
                          </w:rPr>
                        </w:pPr>
                        <w:r w:rsidRPr="00CA1E01">
                          <w:rPr>
                            <w:rFonts w:ascii="Times New Roman" w:eastAsia="ヒラギノ明朝 Pro W3" w:hAnsi="Times" w:cs="Times New Roman"/>
                            <w:sz w:val="18"/>
                            <w:szCs w:val="18"/>
                          </w:rPr>
                          <w:t>2-</w:t>
                        </w:r>
                      </w:p>
                    </w:tc>
                    <w:tc>
                      <w:tcPr>
                        <w:tcW w:w="3815"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CA1E01">
                          <w:rPr>
                            <w:rFonts w:ascii="Times New Roman" w:eastAsia="ヒラギノ明朝 Pro W3" w:hAnsi="Times" w:cs="Times New Roman"/>
                            <w:sz w:val="18"/>
                            <w:szCs w:val="18"/>
                          </w:rPr>
                          <w:t>12/11/2008</w:t>
                        </w:r>
                        <w:proofErr w:type="gramEnd"/>
                      </w:p>
                    </w:tc>
                    <w:tc>
                      <w:tcPr>
                        <w:tcW w:w="4249" w:type="dxa"/>
                        <w:tcBorders>
                          <w:top w:val="single" w:sz="4" w:space="0" w:color="auto"/>
                          <w:left w:val="single" w:sz="4" w:space="0" w:color="auto"/>
                          <w:bottom w:val="single" w:sz="4" w:space="0" w:color="auto"/>
                          <w:right w:val="single" w:sz="4" w:space="0" w:color="auto"/>
                        </w:tcBorders>
                        <w:hideMark/>
                      </w:tcPr>
                      <w:p w:rsidR="00CA1E01" w:rsidRPr="00CA1E01" w:rsidRDefault="00CA1E01" w:rsidP="00455905">
                        <w:pPr>
                          <w:tabs>
                            <w:tab w:val="left" w:pos="566"/>
                          </w:tabs>
                          <w:spacing w:after="0" w:line="240" w:lineRule="exact"/>
                          <w:jc w:val="center"/>
                          <w:rPr>
                            <w:rFonts w:ascii="Times New Roman" w:eastAsia="ヒラギノ明朝 Pro W3" w:hAnsi="Times" w:cs="Times New Roman"/>
                            <w:sz w:val="18"/>
                            <w:szCs w:val="18"/>
                          </w:rPr>
                        </w:pPr>
                        <w:r w:rsidRPr="00CA1E01">
                          <w:rPr>
                            <w:rFonts w:ascii="Times New Roman" w:eastAsia="ヒラギノ明朝 Pro W3" w:hAnsi="Times" w:cs="Times New Roman"/>
                            <w:sz w:val="18"/>
                            <w:szCs w:val="18"/>
                          </w:rPr>
                          <w:t>27052</w:t>
                        </w:r>
                      </w:p>
                    </w:tc>
                  </w:tr>
                </w:tbl>
                <w:p w:rsidR="00CA1E01" w:rsidRPr="00CA1E01" w:rsidRDefault="00CA1E01" w:rsidP="00455905">
                  <w:pPr>
                    <w:spacing w:after="0" w:line="240" w:lineRule="auto"/>
                    <w:jc w:val="center"/>
                    <w:rPr>
                      <w:rFonts w:ascii="Arial" w:eastAsia="Times New Roman" w:hAnsi="Arial" w:cs="Arial"/>
                      <w:b/>
                      <w:color w:val="000080"/>
                      <w:sz w:val="18"/>
                      <w:szCs w:val="18"/>
                    </w:rPr>
                  </w:pPr>
                </w:p>
              </w:tc>
            </w:tr>
          </w:tbl>
          <w:p w:rsidR="00CA1E01" w:rsidRPr="00CA1E01" w:rsidRDefault="00CA1E01" w:rsidP="00455905">
            <w:pPr>
              <w:spacing w:after="0" w:line="240" w:lineRule="auto"/>
              <w:jc w:val="center"/>
              <w:rPr>
                <w:rFonts w:ascii="Times New Roman" w:eastAsia="Times New Roman" w:hAnsi="Times New Roman" w:cs="Times New Roman"/>
                <w:sz w:val="20"/>
                <w:szCs w:val="20"/>
              </w:rPr>
            </w:pPr>
          </w:p>
        </w:tc>
      </w:tr>
    </w:tbl>
    <w:p w:rsidR="00CA1E01" w:rsidRPr="00CA1E01" w:rsidRDefault="00CA1E01" w:rsidP="00455905">
      <w:pPr>
        <w:spacing w:after="0" w:line="240" w:lineRule="auto"/>
        <w:jc w:val="center"/>
        <w:rPr>
          <w:rFonts w:ascii="Times New Roman" w:eastAsia="Times New Roman" w:hAnsi="Times New Roman" w:cs="Times New Roman"/>
          <w:sz w:val="24"/>
          <w:szCs w:val="24"/>
        </w:rPr>
      </w:pPr>
    </w:p>
    <w:p w:rsidR="000B5855" w:rsidRPr="00CA1E01" w:rsidRDefault="000B5855" w:rsidP="00455905">
      <w:pPr>
        <w:spacing w:after="0"/>
        <w:ind w:firstLine="708"/>
      </w:pPr>
    </w:p>
    <w:sectPr w:rsidR="000B5855" w:rsidRPr="00CA1E01" w:rsidSect="005C2D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01"/>
    <w:rsid w:val="000B5855"/>
    <w:rsid w:val="001D79AD"/>
    <w:rsid w:val="00455905"/>
    <w:rsid w:val="004D22F1"/>
    <w:rsid w:val="00523FC4"/>
    <w:rsid w:val="005C2D08"/>
    <w:rsid w:val="00945EF5"/>
    <w:rsid w:val="00CA1E01"/>
    <w:rsid w:val="00EF30C0"/>
    <w:rsid w:val="00F91D58"/>
    <w:rsid w:val="00FA11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A1E01"/>
    <w:rPr>
      <w:color w:val="0000FF"/>
      <w:u w:val="single"/>
    </w:rPr>
  </w:style>
  <w:style w:type="paragraph" w:styleId="NormalWeb">
    <w:name w:val="Normal (Web)"/>
    <w:basedOn w:val="Normal"/>
    <w:uiPriority w:val="99"/>
    <w:unhideWhenUsed/>
    <w:rsid w:val="00CA1E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NormalYaz">
    <w:name w:val="3-Normal Yazı"/>
    <w:rsid w:val="00CA1E01"/>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CA1E01"/>
    <w:rPr>
      <w:rFonts w:ascii="Times New Roman" w:eastAsia="Times New Roman" w:hAnsi="Times New Roman" w:cs="Times New Roman" w:hint="default"/>
      <w:noProof w:val="0"/>
      <w:sz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A1E01"/>
    <w:rPr>
      <w:color w:val="0000FF"/>
      <w:u w:val="single"/>
    </w:rPr>
  </w:style>
  <w:style w:type="paragraph" w:styleId="NormalWeb">
    <w:name w:val="Normal (Web)"/>
    <w:basedOn w:val="Normal"/>
    <w:uiPriority w:val="99"/>
    <w:unhideWhenUsed/>
    <w:rsid w:val="00CA1E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NormalYaz">
    <w:name w:val="3-Normal Yazı"/>
    <w:rsid w:val="00CA1E01"/>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CA1E01"/>
    <w:rPr>
      <w:rFonts w:ascii="Times New Roman" w:eastAsia="Times New Roman" w:hAnsi="Times New Roman" w:cs="Times New Roman" w:hint="default"/>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62729">
      <w:bodyDiv w:val="1"/>
      <w:marLeft w:val="0"/>
      <w:marRight w:val="0"/>
      <w:marTop w:val="0"/>
      <w:marBottom w:val="0"/>
      <w:divBdr>
        <w:top w:val="none" w:sz="0" w:space="0" w:color="auto"/>
        <w:left w:val="none" w:sz="0" w:space="0" w:color="auto"/>
        <w:bottom w:val="none" w:sz="0" w:space="0" w:color="auto"/>
        <w:right w:val="none" w:sz="0" w:space="0" w:color="auto"/>
      </w:divBdr>
      <w:divsChild>
        <w:div w:id="2046826118">
          <w:marLeft w:val="0"/>
          <w:marRight w:val="0"/>
          <w:marTop w:val="0"/>
          <w:marBottom w:val="0"/>
          <w:divBdr>
            <w:top w:val="none" w:sz="0" w:space="0" w:color="auto"/>
            <w:left w:val="none" w:sz="0" w:space="0" w:color="auto"/>
            <w:bottom w:val="none" w:sz="0" w:space="0" w:color="auto"/>
            <w:right w:val="none" w:sz="0" w:space="0" w:color="auto"/>
          </w:divBdr>
          <w:divsChild>
            <w:div w:id="810907930">
              <w:marLeft w:val="0"/>
              <w:marRight w:val="0"/>
              <w:marTop w:val="0"/>
              <w:marBottom w:val="0"/>
              <w:divBdr>
                <w:top w:val="none" w:sz="0" w:space="0" w:color="auto"/>
                <w:left w:val="none" w:sz="0" w:space="0" w:color="auto"/>
                <w:bottom w:val="none" w:sz="0" w:space="0" w:color="auto"/>
                <w:right w:val="none" w:sz="0" w:space="0" w:color="auto"/>
              </w:divBdr>
              <w:divsChild>
                <w:div w:id="13884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983</Words>
  <Characters>5604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Serkan</cp:lastModifiedBy>
  <cp:revision>4</cp:revision>
  <dcterms:created xsi:type="dcterms:W3CDTF">2012-02-20T08:58:00Z</dcterms:created>
  <dcterms:modified xsi:type="dcterms:W3CDTF">2012-02-21T11:25:00Z</dcterms:modified>
</cp:coreProperties>
</file>