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4B0046" w:rsidRPr="004B0046" w:rsidTr="00B61578">
        <w:trPr>
          <w:trHeight w:val="68"/>
          <w:jc w:val="center"/>
        </w:trPr>
        <w:tc>
          <w:tcPr>
            <w:tcW w:w="2931" w:type="dxa"/>
            <w:tcBorders>
              <w:top w:val="nil"/>
              <w:left w:val="nil"/>
              <w:bottom w:val="single" w:sz="4" w:space="0" w:color="660066"/>
              <w:right w:val="nil"/>
            </w:tcBorders>
            <w:vAlign w:val="center"/>
            <w:hideMark/>
          </w:tcPr>
          <w:p w:rsidR="004B0046" w:rsidRPr="004B0046" w:rsidRDefault="004B0046" w:rsidP="00B61578">
            <w:pPr>
              <w:tabs>
                <w:tab w:val="left" w:pos="567"/>
                <w:tab w:val="center" w:pos="994"/>
                <w:tab w:val="center" w:pos="3543"/>
                <w:tab w:val="right" w:pos="6520"/>
              </w:tabs>
              <w:spacing w:after="0"/>
              <w:rPr>
                <w:rFonts w:ascii="Arial" w:eastAsia="Times New Roman" w:hAnsi="Arial" w:cs="Arial"/>
                <w:b/>
                <w:sz w:val="16"/>
                <w:szCs w:val="16"/>
                <w:lang w:eastAsia="tr-TR"/>
              </w:rPr>
            </w:pPr>
          </w:p>
        </w:tc>
        <w:tc>
          <w:tcPr>
            <w:tcW w:w="2931" w:type="dxa"/>
            <w:tcBorders>
              <w:top w:val="nil"/>
              <w:left w:val="nil"/>
              <w:bottom w:val="single" w:sz="4" w:space="0" w:color="660066"/>
              <w:right w:val="nil"/>
            </w:tcBorders>
            <w:vAlign w:val="center"/>
            <w:hideMark/>
          </w:tcPr>
          <w:p w:rsidR="004B0046" w:rsidRPr="004B0046" w:rsidRDefault="004B0046" w:rsidP="00B61578">
            <w:pPr>
              <w:tabs>
                <w:tab w:val="left" w:pos="567"/>
                <w:tab w:val="center" w:pos="994"/>
                <w:tab w:val="center" w:pos="3543"/>
                <w:tab w:val="right" w:pos="6520"/>
              </w:tabs>
              <w:spacing w:after="0"/>
              <w:jc w:val="center"/>
              <w:rPr>
                <w:rFonts w:ascii="Palatino Linotype" w:eastAsia="Times New Roman" w:hAnsi="Palatino Linotype" w:cs="Times New Roman"/>
                <w:b/>
                <w:color w:val="800080"/>
                <w:sz w:val="24"/>
                <w:szCs w:val="24"/>
                <w:lang w:eastAsia="tr-TR"/>
              </w:rPr>
            </w:pPr>
          </w:p>
        </w:tc>
        <w:tc>
          <w:tcPr>
            <w:tcW w:w="2927" w:type="dxa"/>
            <w:tcBorders>
              <w:top w:val="nil"/>
              <w:left w:val="nil"/>
              <w:bottom w:val="single" w:sz="4" w:space="0" w:color="660066"/>
              <w:right w:val="nil"/>
            </w:tcBorders>
            <w:vAlign w:val="center"/>
            <w:hideMark/>
          </w:tcPr>
          <w:p w:rsidR="004B0046" w:rsidRPr="004B0046" w:rsidRDefault="00B61578" w:rsidP="00B61578">
            <w:pPr>
              <w:spacing w:before="100" w:beforeAutospacing="1" w:after="100" w:afterAutospacing="1"/>
              <w:jc w:val="right"/>
              <w:rPr>
                <w:rFonts w:ascii="Arial" w:eastAsia="Times New Roman" w:hAnsi="Arial" w:cs="Arial"/>
                <w:b/>
                <w:sz w:val="16"/>
                <w:szCs w:val="16"/>
                <w:lang w:eastAsia="tr-TR"/>
              </w:rPr>
            </w:pPr>
            <w:r>
              <w:rPr>
                <w:rFonts w:ascii="Arial" w:eastAsia="Times New Roman" w:hAnsi="Arial" w:cs="Arial"/>
                <w:sz w:val="16"/>
                <w:szCs w:val="16"/>
                <w:lang w:eastAsia="tr-TR"/>
              </w:rPr>
              <w:t xml:space="preserve"> </w:t>
            </w:r>
          </w:p>
        </w:tc>
      </w:tr>
      <w:tr w:rsidR="004B0046" w:rsidRPr="004B0046">
        <w:trPr>
          <w:trHeight w:val="480"/>
          <w:jc w:val="center"/>
        </w:trPr>
        <w:tc>
          <w:tcPr>
            <w:tcW w:w="8789" w:type="dxa"/>
            <w:gridSpan w:val="3"/>
            <w:vAlign w:val="center"/>
            <w:hideMark/>
          </w:tcPr>
          <w:p w:rsidR="004B0046" w:rsidRPr="004B0046" w:rsidRDefault="004B0046" w:rsidP="00B61578">
            <w:pPr>
              <w:spacing w:before="100" w:beforeAutospacing="1" w:after="100" w:afterAutospacing="1"/>
              <w:jc w:val="center"/>
              <w:rPr>
                <w:rFonts w:ascii="Arial" w:eastAsia="Times New Roman" w:hAnsi="Arial" w:cs="Arial"/>
                <w:b/>
                <w:color w:val="000080"/>
                <w:sz w:val="18"/>
                <w:szCs w:val="18"/>
                <w:lang w:eastAsia="tr-TR"/>
              </w:rPr>
            </w:pPr>
          </w:p>
        </w:tc>
      </w:tr>
      <w:tr w:rsidR="004B0046" w:rsidRPr="004B0046">
        <w:trPr>
          <w:trHeight w:val="480"/>
          <w:jc w:val="center"/>
        </w:trPr>
        <w:tc>
          <w:tcPr>
            <w:tcW w:w="8789" w:type="dxa"/>
            <w:gridSpan w:val="3"/>
            <w:vAlign w:val="center"/>
            <w:hideMark/>
          </w:tcPr>
          <w:p w:rsidR="004B0046" w:rsidRDefault="004B0046" w:rsidP="00B61578">
            <w:pPr>
              <w:tabs>
                <w:tab w:val="left" w:pos="566"/>
              </w:tabs>
              <w:spacing w:after="0"/>
              <w:ind w:firstLine="566"/>
              <w:rPr>
                <w:rFonts w:ascii="Arial" w:eastAsia="ヒラギノ明朝 Pro W3" w:hAnsi="Arial" w:cs="Arial"/>
                <w:szCs w:val="18"/>
                <w:u w:val="single"/>
              </w:rPr>
            </w:pPr>
            <w:r w:rsidRPr="004B0046">
              <w:rPr>
                <w:rFonts w:ascii="Arial" w:eastAsia="ヒラギノ明朝 Pro W3" w:hAnsi="Arial" w:cs="Arial"/>
                <w:szCs w:val="18"/>
                <w:u w:val="single"/>
              </w:rPr>
              <w:t>Maliye Bakanlığından:</w:t>
            </w:r>
          </w:p>
          <w:p w:rsidR="00A42FFC" w:rsidRPr="004B0046" w:rsidRDefault="00A42FFC" w:rsidP="00B61578">
            <w:pPr>
              <w:tabs>
                <w:tab w:val="left" w:pos="566"/>
              </w:tabs>
              <w:spacing w:after="0"/>
              <w:ind w:firstLine="566"/>
              <w:rPr>
                <w:rFonts w:ascii="Arial" w:eastAsia="ヒラギノ明朝 Pro W3" w:hAnsi="Arial" w:cs="Arial"/>
                <w:szCs w:val="18"/>
                <w:u w:val="single"/>
              </w:rPr>
            </w:pPr>
          </w:p>
          <w:p w:rsidR="004B0046" w:rsidRPr="004B0046" w:rsidRDefault="004B0046" w:rsidP="00B61578">
            <w:pPr>
              <w:spacing w:after="0"/>
              <w:jc w:val="center"/>
              <w:rPr>
                <w:rFonts w:ascii="Arial" w:eastAsia="ヒラギノ明朝 Pro W3" w:hAnsi="Arial" w:cs="Arial"/>
                <w:b/>
                <w:szCs w:val="18"/>
              </w:rPr>
            </w:pPr>
            <w:r w:rsidRPr="004B0046">
              <w:rPr>
                <w:rFonts w:ascii="Arial" w:eastAsia="ヒラギノ明朝 Pro W3" w:hAnsi="Arial" w:cs="Arial"/>
                <w:b/>
                <w:szCs w:val="18"/>
              </w:rPr>
              <w:t>VERGİ USUL KANUNU GENEL TEBLİĞİ</w:t>
            </w:r>
          </w:p>
          <w:p w:rsidR="004B0046" w:rsidRPr="004B0046" w:rsidRDefault="004B0046" w:rsidP="00B61578">
            <w:pPr>
              <w:spacing w:after="0"/>
              <w:jc w:val="center"/>
              <w:rPr>
                <w:rFonts w:ascii="Arial" w:eastAsia="ヒラギノ明朝 Pro W3" w:hAnsi="Arial" w:cs="Arial"/>
                <w:b/>
                <w:szCs w:val="18"/>
              </w:rPr>
            </w:pPr>
            <w:r w:rsidRPr="004B0046">
              <w:rPr>
                <w:rFonts w:ascii="Arial" w:eastAsia="ヒラギノ明朝 Pro W3" w:hAnsi="Arial" w:cs="Arial"/>
                <w:b/>
                <w:szCs w:val="18"/>
              </w:rPr>
              <w:t>(SIRA NO:420)</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1. Giriş</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1.1. Ülkemizin önemli ekonomik sorunlarından biri olan kayıt dışılık; rekabet gücünü önemli ölçüde etkilemekte ve kamu finansman yapısının sağlıklı işlemesine engel olmaktadır. Kayıt dışılıkla mücadele, ekonomide haksız rekabetin önlenmesi ve ekonomik gelişmelerin sağlıklı bir seyir izlemesinde büyük önem arz etmektedir. Ayrıca kayıt dışı ekonomiyle mücadelede başarı sağlanabilmesi; başta kamuoyu olmak üzere tüm kesimlerin desteğine, ilgili tüm kurum ve kuruluşların katkıları ile hazırlanan etkin bir izleme ve değerlendirme sisteminin oluşturulmasına bağlıdır.</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 xml:space="preserve">1.2. Bu kapsamda, </w:t>
            </w:r>
            <w:r w:rsidRPr="004B0046">
              <w:rPr>
                <w:rFonts w:ascii="Arial" w:eastAsia="ヒラギノ明朝 Pro W3" w:hAnsi="Arial" w:cs="Arial"/>
                <w:b/>
                <w:szCs w:val="18"/>
                <w:highlight w:val="yellow"/>
              </w:rPr>
              <w:t>Enerji Piyasası Düzenleme Kurumundan dağıtım lisansı alan</w:t>
            </w:r>
            <w:r w:rsidRPr="004B0046">
              <w:rPr>
                <w:rFonts w:ascii="Arial" w:eastAsia="ヒラギノ明朝 Pro W3" w:hAnsi="Arial" w:cs="Arial"/>
                <w:szCs w:val="18"/>
              </w:rPr>
              <w:t xml:space="preserve"> elektrik ve doğalgaz dağıtım şirketlerinden ve </w:t>
            </w:r>
            <w:r w:rsidRPr="004B0046">
              <w:rPr>
                <w:rFonts w:ascii="Arial" w:eastAsia="ヒラギノ明朝 Pro W3" w:hAnsi="Arial" w:cs="Arial"/>
                <w:b/>
                <w:szCs w:val="18"/>
                <w:highlight w:val="yellow"/>
              </w:rPr>
              <w:t>organize sanayi bölgesi (OSB) tüzel kişiliklerinden; elektrik ve doğalgaz abone bilgileri ile tüketim bilgilerinin</w:t>
            </w:r>
            <w:r w:rsidRPr="004B0046">
              <w:rPr>
                <w:rFonts w:ascii="Arial" w:eastAsia="ヒラギノ明朝 Pro W3" w:hAnsi="Arial" w:cs="Arial"/>
                <w:szCs w:val="18"/>
              </w:rPr>
              <w:t xml:space="preserve"> alınması bu Tebliğin konusunu teşkil etmektedir.</w:t>
            </w:r>
          </w:p>
          <w:p w:rsidR="00B61578" w:rsidRDefault="00B61578" w:rsidP="00B61578">
            <w:pPr>
              <w:tabs>
                <w:tab w:val="left" w:pos="566"/>
              </w:tabs>
              <w:spacing w:after="0"/>
              <w:ind w:firstLine="566"/>
              <w:jc w:val="both"/>
              <w:rPr>
                <w:rFonts w:ascii="Arial" w:eastAsia="ヒラギノ明朝 Pro W3" w:hAnsi="Arial" w:cs="Arial"/>
                <w:b/>
                <w:szCs w:val="18"/>
              </w:rPr>
            </w:pPr>
          </w:p>
          <w:p w:rsidR="004B0046" w:rsidRPr="004B0046" w:rsidRDefault="004B0046" w:rsidP="00B61578">
            <w:pPr>
              <w:tabs>
                <w:tab w:val="left" w:pos="566"/>
              </w:tabs>
              <w:spacing w:after="0"/>
              <w:ind w:firstLine="566"/>
              <w:jc w:val="both"/>
              <w:rPr>
                <w:rFonts w:ascii="Arial" w:eastAsia="ヒラギノ明朝 Pro W3" w:hAnsi="Arial" w:cs="Arial"/>
                <w:b/>
                <w:szCs w:val="18"/>
              </w:rPr>
            </w:pPr>
            <w:r w:rsidRPr="004B0046">
              <w:rPr>
                <w:rFonts w:ascii="Arial" w:eastAsia="ヒラギノ明朝 Pro W3" w:hAnsi="Arial" w:cs="Arial"/>
                <w:b/>
                <w:szCs w:val="18"/>
              </w:rPr>
              <w:t>2. Kanuni dayanak ve yetki</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 xml:space="preserve">2.1. </w:t>
            </w:r>
            <w:proofErr w:type="gramStart"/>
            <w:r w:rsidRPr="004B0046">
              <w:rPr>
                <w:rFonts w:ascii="Arial" w:eastAsia="ヒラギノ明朝 Pro W3" w:hAnsi="Arial" w:cs="Arial"/>
                <w:szCs w:val="18"/>
              </w:rPr>
              <w:t>4/1/1961</w:t>
            </w:r>
            <w:proofErr w:type="gramEnd"/>
            <w:r w:rsidRPr="004B0046">
              <w:rPr>
                <w:rFonts w:ascii="Arial" w:eastAsia="ヒラギノ明朝 Pro W3" w:hAnsi="Arial" w:cs="Arial"/>
                <w:szCs w:val="18"/>
              </w:rPr>
              <w:t xml:space="preserve"> tarihli ve 213 sayılı Vergi Usul Kanununun "Bilgi Verme" başlığını taşıyan 148 inci maddesinde "Kamu idare ve müesseseleri, mükellefler veya mükelleflerle muamelede bulunan diğer gerçek ve tüzel kişiler, Maliye Bakanlığının veya vergi incelemesi yapmaya yetkili olanların isteyecekleri bilgileri vermeye mecburdurlar" hükmüne yer verilmiştir. </w:t>
            </w:r>
            <w:proofErr w:type="gramStart"/>
            <w:r w:rsidRPr="004B0046">
              <w:rPr>
                <w:rFonts w:ascii="Arial" w:eastAsia="ヒラギノ明朝 Pro W3" w:hAnsi="Arial" w:cs="Arial"/>
                <w:szCs w:val="18"/>
              </w:rPr>
              <w:t>Aynı Kanunun 149 uncu maddesinde ise "Kamu idare ve müesseseleri (Kamu hizmeti ifa eden kurum ve kuruluşlar dâhil) ile gerçek ve tüzel kişiler vergilendirmeye ilişkin olaylarla ilgili olarak Maliye Bakanlığı ve vergi dairesince kendilerinden yazı ile istenecek bilgileri belli fasılalarla ve devamlı olarak yazı ile vermeye mecburdurlar." hükmüne yer verilmiştir.</w:t>
            </w:r>
            <w:proofErr w:type="gramEnd"/>
          </w:p>
          <w:p w:rsidR="004B0046" w:rsidRPr="004B0046" w:rsidRDefault="004B0046" w:rsidP="00B61578">
            <w:pPr>
              <w:tabs>
                <w:tab w:val="left" w:pos="566"/>
              </w:tabs>
              <w:spacing w:after="0"/>
              <w:ind w:firstLine="566"/>
              <w:jc w:val="both"/>
              <w:rPr>
                <w:rFonts w:ascii="Arial" w:eastAsia="ヒラギノ明朝 Pro W3" w:hAnsi="Arial" w:cs="Arial"/>
                <w:szCs w:val="18"/>
              </w:rPr>
            </w:pPr>
            <w:proofErr w:type="gramStart"/>
            <w:r w:rsidRPr="004B0046">
              <w:rPr>
                <w:rFonts w:ascii="Arial" w:eastAsia="ヒラギノ明朝 Pro W3" w:hAnsi="Arial" w:cs="Arial"/>
                <w:szCs w:val="18"/>
              </w:rPr>
              <w:t xml:space="preserve">2.2 213 sayılı Kanunun mükerrer 257 </w:t>
            </w:r>
            <w:proofErr w:type="spellStart"/>
            <w:r w:rsidRPr="004B0046">
              <w:rPr>
                <w:rFonts w:ascii="Arial" w:eastAsia="ヒラギノ明朝 Pro W3" w:hAnsi="Arial" w:cs="Arial"/>
                <w:szCs w:val="18"/>
              </w:rPr>
              <w:t>nci</w:t>
            </w:r>
            <w:proofErr w:type="spellEnd"/>
            <w:r w:rsidRPr="004B0046">
              <w:rPr>
                <w:rFonts w:ascii="Arial" w:eastAsia="ヒラギノ明朝 Pro W3" w:hAnsi="Arial" w:cs="Arial"/>
                <w:szCs w:val="18"/>
              </w:rPr>
              <w:t xml:space="preserve"> maddesinin birinci fıkrasının (4) numaralı bendi hükmü uyarınca, bu Kanunun 149 uncu maddesine göre devamlı bilgi vermek zorunda olanlardan istenilen bilgiler ile vergi beyannameleri ve bildirimlerin, şifre, elektronik imza veya diğer güvenlik araçları konulmak suretiyle internet de dâhil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sidRPr="004B0046">
              <w:rPr>
                <w:rFonts w:ascii="Arial" w:eastAsia="ヒラギノ明朝 Pro W3" w:hAnsi="Arial" w:cs="Arial"/>
                <w:szCs w:val="18"/>
              </w:rPr>
              <w:t>ayrı</w:t>
            </w:r>
            <w:proofErr w:type="spellEnd"/>
            <w:r w:rsidRPr="004B0046">
              <w:rPr>
                <w:rFonts w:ascii="Arial" w:eastAsia="ヒラギノ明朝 Pro W3" w:hAnsi="Arial" w:cs="Arial"/>
                <w:szCs w:val="18"/>
              </w:rPr>
              <w:t xml:space="preserve"> uygulatmaya Maliye Bakanlığı yetkilidir. </w:t>
            </w:r>
            <w:proofErr w:type="gramEnd"/>
          </w:p>
          <w:p w:rsidR="004B0046" w:rsidRDefault="004B0046" w:rsidP="00B61578">
            <w:pPr>
              <w:tabs>
                <w:tab w:val="left" w:pos="566"/>
              </w:tabs>
              <w:spacing w:after="0"/>
              <w:ind w:firstLine="566"/>
              <w:jc w:val="both"/>
              <w:rPr>
                <w:rFonts w:ascii="Arial" w:eastAsia="ヒラギノ明朝 Pro W3" w:hAnsi="Arial" w:cs="Arial"/>
                <w:szCs w:val="18"/>
              </w:rPr>
            </w:pPr>
            <w:proofErr w:type="gramStart"/>
            <w:r w:rsidRPr="004B0046">
              <w:rPr>
                <w:rFonts w:ascii="Arial" w:eastAsia="ヒラギノ明朝 Pro W3" w:hAnsi="Arial" w:cs="Arial"/>
                <w:szCs w:val="18"/>
              </w:rPr>
              <w:t>2.3. 213 sayılı Kanunun yukarıda belirtilen maddeleri ile Maliye Bakanlığına verilen yetkiye istinaden bu Tebliğin konusunu teşkil eden abone bilgileri (mevcut, yeni tesis edilen, değişen veya kapanan abonelere ilişkin abonelik bilgileri) ile tüketim bilgilerinin elektronik ortamda [Maliye Bakanlığı Gelir İdaresi Başkanlığı Bilgi Transfer Sistemi (BTRANS) aracılığıyla (https://intvd.gib.gov.tr/btrans/index.html)] gönderilmesi zorunluluğu getirilmiştir.</w:t>
            </w:r>
            <w:proofErr w:type="gramEnd"/>
          </w:p>
          <w:p w:rsidR="00673E47" w:rsidRPr="004B0046" w:rsidRDefault="00673E47" w:rsidP="00B61578">
            <w:pPr>
              <w:tabs>
                <w:tab w:val="left" w:pos="566"/>
              </w:tabs>
              <w:spacing w:after="0"/>
              <w:ind w:firstLine="566"/>
              <w:jc w:val="both"/>
              <w:rPr>
                <w:rFonts w:ascii="Arial" w:eastAsia="ヒラギノ明朝 Pro W3" w:hAnsi="Arial" w:cs="Arial"/>
                <w:szCs w:val="18"/>
              </w:rPr>
            </w:pP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 xml:space="preserve">2.4. Bilgi verme zorunluluğu getirilen şirketler ve </w:t>
            </w:r>
            <w:r w:rsidRPr="00570DAF">
              <w:rPr>
                <w:rFonts w:ascii="Arial" w:eastAsia="ヒラギノ明朝 Pro W3" w:hAnsi="Arial" w:cs="Arial"/>
                <w:b/>
                <w:szCs w:val="18"/>
                <w:highlight w:val="yellow"/>
              </w:rPr>
              <w:t>OSB tüzel kişiliklerinin</w:t>
            </w:r>
            <w:r w:rsidRPr="004B0046">
              <w:rPr>
                <w:rFonts w:ascii="Arial" w:eastAsia="ヒラギノ明朝 Pro W3" w:hAnsi="Arial" w:cs="Arial"/>
                <w:szCs w:val="18"/>
              </w:rPr>
              <w:t xml:space="preserve"> kapsamı, bilgi verme şekli, dönemi, zamanı, bilgi gönderilmesi ve diğer hususlara ilişkin açıklamalara Tebliğin takip eden bölümlerinde yer verilmiştir.</w:t>
            </w:r>
          </w:p>
          <w:p w:rsidR="00B61578" w:rsidRDefault="00B61578" w:rsidP="00B61578">
            <w:pPr>
              <w:tabs>
                <w:tab w:val="left" w:pos="566"/>
              </w:tabs>
              <w:spacing w:after="0"/>
              <w:ind w:firstLine="566"/>
              <w:jc w:val="both"/>
              <w:rPr>
                <w:rFonts w:ascii="Arial" w:eastAsia="ヒラギノ明朝 Pro W3" w:hAnsi="Arial" w:cs="Arial"/>
                <w:b/>
                <w:szCs w:val="18"/>
              </w:rPr>
            </w:pPr>
          </w:p>
          <w:p w:rsidR="004B0046" w:rsidRPr="004B0046" w:rsidRDefault="004B0046" w:rsidP="00B61578">
            <w:pPr>
              <w:tabs>
                <w:tab w:val="left" w:pos="566"/>
              </w:tabs>
              <w:spacing w:after="0"/>
              <w:ind w:firstLine="566"/>
              <w:jc w:val="both"/>
              <w:rPr>
                <w:rFonts w:ascii="Arial" w:eastAsia="ヒラギノ明朝 Pro W3" w:hAnsi="Arial" w:cs="Arial"/>
                <w:b/>
                <w:szCs w:val="18"/>
              </w:rPr>
            </w:pPr>
            <w:r w:rsidRPr="004B0046">
              <w:rPr>
                <w:rFonts w:ascii="Arial" w:eastAsia="ヒラギノ明朝 Pro W3" w:hAnsi="Arial" w:cs="Arial"/>
                <w:b/>
                <w:szCs w:val="18"/>
              </w:rPr>
              <w:t>3. Bilgi verme zorunluluğu getirilen şirketler ve OSB tüzel kişiliklerinin kapsamı</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 xml:space="preserve">3.1. Bilgi verme zorunluluğunun başladığı gün olan </w:t>
            </w:r>
            <w:r w:rsidRPr="00570DAF">
              <w:rPr>
                <w:rFonts w:ascii="Arial" w:eastAsia="ヒラギノ明朝 Pro W3" w:hAnsi="Arial" w:cs="Arial"/>
                <w:b/>
                <w:color w:val="FF0000"/>
                <w:szCs w:val="18"/>
                <w:highlight w:val="yellow"/>
              </w:rPr>
              <w:t>1 Ocak 2013 tarihi itibariyle</w:t>
            </w:r>
            <w:r w:rsidRPr="004B0046">
              <w:rPr>
                <w:rFonts w:ascii="Arial" w:eastAsia="ヒラギノ明朝 Pro W3" w:hAnsi="Arial" w:cs="Arial"/>
                <w:szCs w:val="18"/>
              </w:rPr>
              <w:t>;</w:t>
            </w:r>
          </w:p>
          <w:p w:rsidR="004B0046" w:rsidRPr="004B0046" w:rsidRDefault="004B0046" w:rsidP="00B61578">
            <w:pPr>
              <w:tabs>
                <w:tab w:val="left" w:pos="566"/>
              </w:tabs>
              <w:spacing w:after="0"/>
              <w:ind w:firstLine="566"/>
              <w:jc w:val="both"/>
              <w:rPr>
                <w:rFonts w:ascii="Arial" w:eastAsia="ヒラギノ明朝 Pro W3" w:hAnsi="Arial" w:cs="Arial"/>
                <w:szCs w:val="18"/>
              </w:rPr>
            </w:pPr>
            <w:proofErr w:type="gramStart"/>
            <w:r w:rsidRPr="004B0046">
              <w:rPr>
                <w:rFonts w:ascii="Arial" w:eastAsia="ヒラギノ明朝 Pro W3" w:hAnsi="Arial" w:cs="Arial"/>
                <w:szCs w:val="18"/>
              </w:rPr>
              <w:t>a</w:t>
            </w:r>
            <w:proofErr w:type="gramEnd"/>
            <w:r w:rsidRPr="004B0046">
              <w:rPr>
                <w:rFonts w:ascii="Arial" w:eastAsia="ヒラギノ明朝 Pro W3" w:hAnsi="Arial" w:cs="Arial"/>
                <w:szCs w:val="18"/>
              </w:rPr>
              <w:t xml:space="preserve">. Enerji Piyasası Düzenleme Kurumundan, elektrik dağıtım lisansı almış tüm elektrik dağıtım şirketleri ile </w:t>
            </w:r>
            <w:r w:rsidRPr="004B0046">
              <w:rPr>
                <w:rFonts w:ascii="Arial" w:eastAsia="ヒラギノ明朝 Pro W3" w:hAnsi="Arial" w:cs="Arial"/>
                <w:b/>
                <w:szCs w:val="18"/>
                <w:highlight w:val="yellow"/>
              </w:rPr>
              <w:t>OSB tüzel kişilikleri,</w:t>
            </w:r>
            <w:r w:rsidRPr="004B0046">
              <w:rPr>
                <w:rFonts w:ascii="Arial" w:eastAsia="ヒラギノ明朝 Pro W3" w:hAnsi="Arial" w:cs="Arial"/>
                <w:szCs w:val="18"/>
              </w:rPr>
              <w:t xml:space="preserve"> </w:t>
            </w:r>
          </w:p>
          <w:p w:rsidR="004B0046" w:rsidRPr="004B0046" w:rsidRDefault="004B0046" w:rsidP="00B61578">
            <w:pPr>
              <w:tabs>
                <w:tab w:val="left" w:pos="566"/>
              </w:tabs>
              <w:spacing w:after="0"/>
              <w:ind w:firstLine="566"/>
              <w:jc w:val="both"/>
              <w:rPr>
                <w:rFonts w:ascii="Arial" w:eastAsia="ヒラギノ明朝 Pro W3" w:hAnsi="Arial" w:cs="Arial"/>
                <w:szCs w:val="18"/>
              </w:rPr>
            </w:pPr>
            <w:proofErr w:type="gramStart"/>
            <w:r w:rsidRPr="004B0046">
              <w:rPr>
                <w:rFonts w:ascii="Arial" w:eastAsia="ヒラギノ明朝 Pro W3" w:hAnsi="Arial" w:cs="Arial"/>
                <w:szCs w:val="18"/>
              </w:rPr>
              <w:t>b</w:t>
            </w:r>
            <w:proofErr w:type="gramEnd"/>
            <w:r w:rsidRPr="004B0046">
              <w:rPr>
                <w:rFonts w:ascii="Arial" w:eastAsia="ヒラギノ明朝 Pro W3" w:hAnsi="Arial" w:cs="Arial"/>
                <w:szCs w:val="18"/>
              </w:rPr>
              <w:t>. Enerji Piyasası Düzenleme Kurumundan doğalgaz dağıtım lisansı almış şirketler,</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 xml:space="preserve">Bu Tebliğin konusunu teşkil eden abone bilgileri ile tüketim bilgilerini belirlenen format ve standartlara uygun olarak Maliye Bakanlığına göndermek zorundadırlar. </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 xml:space="preserve">3.2. Bu Tebliğin yayımı tarihinden sonra Enerji Piyasası Düzenleme Kurumundan, elektrik ve doğalgaz dağıtım lisansı alan şirketler ve </w:t>
            </w:r>
            <w:r w:rsidRPr="004B0046">
              <w:rPr>
                <w:rFonts w:ascii="Arial" w:eastAsia="ヒラギノ明朝 Pro W3" w:hAnsi="Arial" w:cs="Arial"/>
                <w:b/>
                <w:szCs w:val="18"/>
                <w:highlight w:val="yellow"/>
              </w:rPr>
              <w:t>OSB tüzel kişilikleri</w:t>
            </w:r>
            <w:r w:rsidRPr="004B0046">
              <w:rPr>
                <w:rFonts w:ascii="Arial" w:eastAsia="ヒラギノ明朝 Pro W3" w:hAnsi="Arial" w:cs="Arial"/>
                <w:szCs w:val="18"/>
              </w:rPr>
              <w:t xml:space="preserve"> de bu kapsamda söz konusu bilgileri belirlenen format ve standartlara uygun olarak Maliye Bakanlığına göndermek zorundadırlar.</w:t>
            </w:r>
          </w:p>
          <w:p w:rsidR="004B0046" w:rsidRPr="004B0046" w:rsidRDefault="004B0046" w:rsidP="00B61578">
            <w:pPr>
              <w:tabs>
                <w:tab w:val="left" w:pos="566"/>
              </w:tabs>
              <w:spacing w:after="0"/>
              <w:ind w:firstLine="566"/>
              <w:jc w:val="both"/>
              <w:rPr>
                <w:rFonts w:ascii="Arial" w:eastAsia="ヒラギノ明朝 Pro W3" w:hAnsi="Arial" w:cs="Arial"/>
                <w:b/>
                <w:szCs w:val="18"/>
              </w:rPr>
            </w:pPr>
            <w:r w:rsidRPr="004B0046">
              <w:rPr>
                <w:rFonts w:ascii="Arial" w:eastAsia="ヒラギノ明朝 Pro W3" w:hAnsi="Arial" w:cs="Arial"/>
                <w:b/>
                <w:szCs w:val="18"/>
              </w:rPr>
              <w:t>4. Bilgi verme şekli</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4.1. Kişi ve kuruluş bazında veya işlem türüne göre istenecek bilgilere ilişkin format ve standartlar Maliye Bakanlığınca (Gelir İdaresi Başkanlığı BTRANS aracılığıyla) duyurulacaktır. Bilgi verme formatında ve standartlarında yapılacak ekleme, çıkarma, zorunlu alan olarak belirleme gibi değişiklikler de ayrıca Maliye Bakanlığınca (Gelir İdaresi Başkanlığı BTRANS aracılığıyla) duyurulacaktır.</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 xml:space="preserve">4.2. </w:t>
            </w:r>
            <w:proofErr w:type="gramStart"/>
            <w:r w:rsidRPr="004B0046">
              <w:rPr>
                <w:rFonts w:ascii="Arial" w:eastAsia="ヒラギノ明朝 Pro W3" w:hAnsi="Arial" w:cs="Arial"/>
                <w:szCs w:val="18"/>
              </w:rPr>
              <w:t>21/5/2008</w:t>
            </w:r>
            <w:proofErr w:type="gramEnd"/>
            <w:r w:rsidRPr="004B0046">
              <w:rPr>
                <w:rFonts w:ascii="Arial" w:eastAsia="ヒラギノ明朝 Pro W3" w:hAnsi="Arial" w:cs="Arial"/>
                <w:szCs w:val="18"/>
              </w:rPr>
              <w:t xml:space="preserve"> tarihli ve 26882 sayılı Resmî Gazete’de yayımlanan 2008/8 sayılı Adres Kayıt Sisteminin Uygulanması konulu Başbakanlık Genelgesinde “Kurumlar, her türlü iş ve işleminde, Türk Standartları Enstitüsü (TSE) tarafından belirlenen (TS EN 14142-1) adres standardına uyacaklardır.” ifadesine yer verilmiştir. Bu doğrultuda Enerji Piyasası Düzenleme Kurumundan elektrik ve doğalgaz dağıtım lisansı alan şirketler ve </w:t>
            </w:r>
            <w:r w:rsidRPr="00570DAF">
              <w:rPr>
                <w:rFonts w:ascii="Arial" w:eastAsia="ヒラギノ明朝 Pro W3" w:hAnsi="Arial" w:cs="Arial"/>
                <w:b/>
                <w:szCs w:val="18"/>
                <w:highlight w:val="yellow"/>
              </w:rPr>
              <w:t>OSB’lerin abone işlemlerinde abonelik tesis edilecek olan gayrimenkule ait Ulusal Adres Veri Tabanına kayıtlı 10 rakamdan oluşan adres numarasına</w:t>
            </w:r>
            <w:r w:rsidRPr="004B0046">
              <w:rPr>
                <w:rFonts w:ascii="Arial" w:eastAsia="ヒラギノ明朝 Pro W3" w:hAnsi="Arial" w:cs="Arial"/>
                <w:szCs w:val="18"/>
              </w:rPr>
              <w:t xml:space="preserve"> yer vermeleri gerekmektedir.</w:t>
            </w:r>
          </w:p>
          <w:p w:rsidR="004B0046" w:rsidRPr="004B0046" w:rsidRDefault="004B0046" w:rsidP="00B61578">
            <w:pPr>
              <w:tabs>
                <w:tab w:val="left" w:pos="566"/>
              </w:tabs>
              <w:spacing w:after="0"/>
              <w:ind w:firstLine="566"/>
              <w:jc w:val="both"/>
              <w:rPr>
                <w:rFonts w:ascii="Arial" w:eastAsia="ヒラギノ明朝 Pro W3" w:hAnsi="Arial" w:cs="Arial"/>
                <w:b/>
                <w:szCs w:val="18"/>
              </w:rPr>
            </w:pPr>
            <w:r w:rsidRPr="004B0046">
              <w:rPr>
                <w:rFonts w:ascii="Arial" w:eastAsia="ヒラギノ明朝 Pro W3" w:hAnsi="Arial" w:cs="Arial"/>
                <w:b/>
                <w:szCs w:val="18"/>
              </w:rPr>
              <w:t>5. Bilgi verme dönemi ve gönderilme zamanı</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 xml:space="preserve">5.1. 1 Ocak 2013 tarihi itibariyle işyeri elektrik ve doğalgaz tüketim bilgileri, tüketim bilgilerinin okunduğu dönemi </w:t>
            </w:r>
            <w:r w:rsidRPr="004B0046">
              <w:rPr>
                <w:rFonts w:ascii="Arial" w:eastAsia="ヒラギノ明朝 Pro W3" w:hAnsi="Arial" w:cs="Arial"/>
                <w:b/>
                <w:szCs w:val="18"/>
                <w:highlight w:val="yellow"/>
              </w:rPr>
              <w:t>takip eden ayın 14 üncü günü saat 24.00’e kadar</w:t>
            </w:r>
            <w:r w:rsidRPr="004B0046">
              <w:rPr>
                <w:rFonts w:ascii="Arial" w:eastAsia="ヒラギノ明朝 Pro W3" w:hAnsi="Arial" w:cs="Arial"/>
                <w:szCs w:val="18"/>
              </w:rPr>
              <w:t xml:space="preserve"> elektronik ortamda Maliye Bakanlığına (Gelir İdaresi Başkanlığı BTRANS aracılığıyla) gönderilmesi gerekmektedir.</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5.2. 1 Ocak 2013 tarihi itibariyle yeni tesis edilen, değişen veya kapanan aboneliklere ilişkin abone bilgileri, abonelik işleminin tesis edilmesini takip eden ayın 14 üncü günü saat 24.00’e kadar elektronik ortamda Maliye Bakanlığına (Gelir İdaresi Başkanlığı BTRANS aracılığıyla) gönderilmesi gerekmektedir.</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5.3. Mevcut, yeni tesis edilen, değişen veya kapanan abonelik bilgileri ile elektrik ve doğalgaz tüketim bilgilerinin elektronik ortamda gönderilmesi zorunlu olup, kâğıt ortamında verilen bilgiler hiçbir şekilde kabul edilmeyecektir.</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5.4. Maliye Bakanlığınca bu Tebliğ doğrultusunda belirlenerek duyurulacak format ve standartlar dışında elektronik ortamda (Gelir İdaresi Başkanlığı BTRANS aracılığıyla) dahi olsa gönderilen bilgiler gönderilmemiş sayılacaktır.</w:t>
            </w:r>
          </w:p>
          <w:p w:rsidR="004B0046" w:rsidRPr="004B0046" w:rsidRDefault="004B0046" w:rsidP="00B61578">
            <w:pPr>
              <w:tabs>
                <w:tab w:val="left" w:pos="566"/>
              </w:tabs>
              <w:spacing w:after="0"/>
              <w:ind w:firstLine="566"/>
              <w:jc w:val="both"/>
              <w:rPr>
                <w:rFonts w:ascii="Arial" w:eastAsia="ヒラギノ明朝 Pro W3" w:hAnsi="Arial" w:cs="Arial"/>
                <w:b/>
                <w:szCs w:val="18"/>
              </w:rPr>
            </w:pPr>
            <w:r w:rsidRPr="004B0046">
              <w:rPr>
                <w:rFonts w:ascii="Arial" w:eastAsia="ヒラギノ明朝 Pro W3" w:hAnsi="Arial" w:cs="Arial"/>
                <w:b/>
                <w:szCs w:val="18"/>
              </w:rPr>
              <w:t>6. Diğer hususlar</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 xml:space="preserve">6.1. </w:t>
            </w:r>
            <w:proofErr w:type="gramStart"/>
            <w:r w:rsidRPr="004B0046">
              <w:rPr>
                <w:rFonts w:ascii="Arial" w:eastAsia="ヒラギノ明朝 Pro W3" w:hAnsi="Arial" w:cs="Arial"/>
                <w:szCs w:val="18"/>
              </w:rPr>
              <w:t>2/4/1998</w:t>
            </w:r>
            <w:proofErr w:type="gramEnd"/>
            <w:r w:rsidRPr="004B0046">
              <w:rPr>
                <w:rFonts w:ascii="Arial" w:eastAsia="ヒラギノ明朝 Pro W3" w:hAnsi="Arial" w:cs="Arial"/>
                <w:szCs w:val="18"/>
              </w:rPr>
              <w:t xml:space="preserve"> tarihli ve 4358 sayılı Kanunun 2 </w:t>
            </w:r>
            <w:proofErr w:type="spellStart"/>
            <w:r w:rsidRPr="004B0046">
              <w:rPr>
                <w:rFonts w:ascii="Arial" w:eastAsia="ヒラギノ明朝 Pro W3" w:hAnsi="Arial" w:cs="Arial"/>
                <w:szCs w:val="18"/>
              </w:rPr>
              <w:t>nci</w:t>
            </w:r>
            <w:proofErr w:type="spellEnd"/>
            <w:r w:rsidRPr="004B0046">
              <w:rPr>
                <w:rFonts w:ascii="Arial" w:eastAsia="ヒラギノ明朝 Pro W3" w:hAnsi="Arial" w:cs="Arial"/>
                <w:szCs w:val="18"/>
              </w:rPr>
              <w:t xml:space="preserve"> maddesinin birinci fıkrasında “Kamu idare ve müesseseleri ile diğer gerçek ve tüzel kişiler, Maliye Bakanlığınca belirlenecek işlemlerin yapılması sırasında, bu işlemlere muhatap veya taraf olan gerçek ve tüzel kişilerin vergi kimlik numarasını tespit etmek ve bu işlemlere ilişkin belge, hesap ve kayıtlarında vergi kimlik numaralarına da yer vermek zorundadırlar. Belirlenecek işlemlere muhatap veya taraf olan kişiler, vergi kimlik numaraları olmadığı takdirde, işlemlerin tamamlanmasından önce vergi kimlik numarası almak zorundadırlar.” hükmüne yer verilmiştir. </w:t>
            </w:r>
          </w:p>
          <w:p w:rsidR="004B0046" w:rsidRPr="004B0046" w:rsidRDefault="004B0046" w:rsidP="00B61578">
            <w:pPr>
              <w:tabs>
                <w:tab w:val="left" w:pos="566"/>
              </w:tabs>
              <w:spacing w:after="0"/>
              <w:ind w:firstLine="566"/>
              <w:jc w:val="both"/>
              <w:rPr>
                <w:rFonts w:ascii="Arial" w:eastAsia="ヒラギノ明朝 Pro W3" w:hAnsi="Arial" w:cs="Arial"/>
                <w:szCs w:val="18"/>
              </w:rPr>
            </w:pPr>
            <w:proofErr w:type="gramStart"/>
            <w:r w:rsidRPr="004B0046">
              <w:rPr>
                <w:rFonts w:ascii="Arial" w:eastAsia="ヒラギノ明朝 Pro W3" w:hAnsi="Arial" w:cs="Arial"/>
                <w:szCs w:val="18"/>
              </w:rPr>
              <w:t xml:space="preserve">6.2. 4358 sayılı Kanunun 4 üncü maddesinin Maliye Bakanlığına verdiği yetkiye dayanılarak, vergi kimlik numarası kullanımının yaygınlaştırılması kapsamında, Enerji Piyasası Düzenleme Kurumundan elektrik dağıtım lisansı alan şirketlere, </w:t>
            </w:r>
            <w:r w:rsidRPr="00570DAF">
              <w:rPr>
                <w:rFonts w:ascii="Arial" w:eastAsia="ヒラギノ明朝 Pro W3" w:hAnsi="Arial" w:cs="Arial"/>
                <w:b/>
                <w:szCs w:val="18"/>
                <w:highlight w:val="yellow"/>
              </w:rPr>
              <w:t>OSB tüzel kişiliklerine</w:t>
            </w:r>
            <w:r w:rsidRPr="00570DAF">
              <w:rPr>
                <w:rFonts w:ascii="Arial" w:eastAsia="ヒラギノ明朝 Pro W3" w:hAnsi="Arial" w:cs="Arial"/>
                <w:b/>
                <w:szCs w:val="18"/>
              </w:rPr>
              <w:t xml:space="preserve"> </w:t>
            </w:r>
            <w:r w:rsidRPr="004B0046">
              <w:rPr>
                <w:rFonts w:ascii="Arial" w:eastAsia="ヒラギノ明朝 Pro W3" w:hAnsi="Arial" w:cs="Arial"/>
                <w:szCs w:val="18"/>
              </w:rPr>
              <w:t xml:space="preserve">ve doğalgaz dağıtım lisansı alan şirketlere, 1 Ocak 2013 tarihinden itibaren her türlü gerçek ve tüzel kişi müşterilerinin abone işlemi tesisini yapmadan ve sözleşme düzenlemeden önce </w:t>
            </w:r>
            <w:r w:rsidR="00B61578" w:rsidRPr="00570DAF">
              <w:rPr>
                <w:rFonts w:ascii="Arial" w:eastAsia="ヒラギノ明朝 Pro W3" w:hAnsi="Arial" w:cs="Arial"/>
                <w:b/>
                <w:szCs w:val="18"/>
                <w:highlight w:val="yellow"/>
              </w:rPr>
              <w:t xml:space="preserve">OSB tüzel kişilikleri </w:t>
            </w:r>
            <w:r w:rsidRPr="00570DAF">
              <w:rPr>
                <w:rFonts w:ascii="Arial" w:eastAsia="ヒラギノ明朝 Pro W3" w:hAnsi="Arial" w:cs="Arial"/>
                <w:b/>
                <w:szCs w:val="18"/>
                <w:highlight w:val="yellow"/>
              </w:rPr>
              <w:t>vergi kimlik numaralarını tespit ederek ilgili belge, hesap ve kayıtlarında kullanma zorunluluğu getirilmiştir</w:t>
            </w:r>
            <w:r w:rsidRPr="004B0046">
              <w:rPr>
                <w:rFonts w:ascii="Arial" w:eastAsia="ヒラギノ明朝 Pro W3" w:hAnsi="Arial" w:cs="Arial"/>
                <w:szCs w:val="18"/>
              </w:rPr>
              <w:t xml:space="preserve">. </w:t>
            </w:r>
            <w:proofErr w:type="gramEnd"/>
            <w:r w:rsidRPr="004B0046">
              <w:rPr>
                <w:rFonts w:ascii="Arial" w:eastAsia="ヒラギノ明朝 Pro W3" w:hAnsi="Arial" w:cs="Arial"/>
                <w:szCs w:val="18"/>
              </w:rPr>
              <w:t>Türkiye Cumhuriyeti vatandaşı olan gerçek kişilerde T.C. kimlik numarası, yabancı kimlik numarası bulunan yabancı gerçek kişilerde ise yabancı kimlik numarası vergi kimlik numarası olarak kullanılacaktır.</w:t>
            </w:r>
          </w:p>
          <w:p w:rsidR="004B0046" w:rsidRPr="008545D7" w:rsidRDefault="004B0046" w:rsidP="00B61578">
            <w:pPr>
              <w:tabs>
                <w:tab w:val="left" w:pos="566"/>
              </w:tabs>
              <w:spacing w:after="0"/>
              <w:ind w:firstLine="566"/>
              <w:jc w:val="both"/>
              <w:rPr>
                <w:rFonts w:ascii="Arial" w:eastAsia="ヒラギノ明朝 Pro W3" w:hAnsi="Arial" w:cs="Arial"/>
                <w:sz w:val="20"/>
                <w:szCs w:val="18"/>
              </w:rPr>
            </w:pPr>
            <w:proofErr w:type="gramStart"/>
            <w:r w:rsidRPr="008545D7">
              <w:rPr>
                <w:rFonts w:ascii="Arial" w:eastAsia="ヒラギノ明朝 Pro W3" w:hAnsi="Arial" w:cs="Arial"/>
                <w:sz w:val="20"/>
                <w:szCs w:val="18"/>
              </w:rPr>
              <w:t xml:space="preserve">6.3. Getirilen bu zorunluluk kapsamında Enerji Piyasası Düzenleme Kurumundan elektrik dağıtım lisansı alan şirketler ve ile doğalgaz dağıtım lisansı alan şirketler; işyerleri için tesis edilecek elektrik ve doğalgaz abonelik taleplerinde </w:t>
            </w:r>
            <w:r w:rsidRPr="008545D7">
              <w:rPr>
                <w:rFonts w:ascii="Arial" w:eastAsia="ヒラギノ明朝 Pro W3" w:hAnsi="Arial" w:cs="Arial"/>
                <w:b/>
                <w:sz w:val="20"/>
                <w:szCs w:val="18"/>
                <w:highlight w:val="yellow"/>
              </w:rPr>
              <w:t>işyeri abone işlemi tesisini yapmadan ve sözleşme düzenlemeden önce Gelir İdaresi Başkanlığının kurumsal internet sayfası üzerinden, işyeri aboneliği yaptıracak gerçek veya tüzel kişinin vergi mükellefiyetinin bulunup bulunmadığını elektronik ortamda sorgulayacaklardır.</w:t>
            </w:r>
            <w:r w:rsidRPr="008545D7">
              <w:rPr>
                <w:rFonts w:ascii="Arial" w:eastAsia="ヒラギノ明朝 Pro W3" w:hAnsi="Arial" w:cs="Arial"/>
                <w:sz w:val="20"/>
                <w:szCs w:val="18"/>
              </w:rPr>
              <w:t xml:space="preserve"> </w:t>
            </w:r>
            <w:proofErr w:type="gramEnd"/>
            <w:r w:rsidRPr="008545D7">
              <w:rPr>
                <w:rFonts w:ascii="Arial" w:eastAsia="ヒラギノ明朝 Pro W3" w:hAnsi="Arial" w:cs="Arial"/>
                <w:b/>
                <w:color w:val="FF0000"/>
                <w:sz w:val="20"/>
                <w:szCs w:val="18"/>
              </w:rPr>
              <w:t>Vergi mükellefiyeti bulunmayan gerçek veya tüzel kişinin işyeri abone işlemi tesis edilmeyecek ve sözleşme düzenlenmeyecektir.</w:t>
            </w:r>
            <w:r w:rsidRPr="008545D7">
              <w:rPr>
                <w:rFonts w:ascii="Arial" w:eastAsia="ヒラギノ明朝 Pro W3" w:hAnsi="Arial" w:cs="Arial"/>
                <w:sz w:val="20"/>
                <w:szCs w:val="18"/>
              </w:rPr>
              <w:t xml:space="preserve"> Gerçek veya tüzel kişilerin vergi mükellefiyeti durumu sadece Gelir İdaresi Başkanlığının kurumsal internet sayfası üzerinden elektronik ortamda sorgulamak suretiyle araştırılacak ayrıca gerçek veya tüzel kişilerden vergi mükellefiyeti durumuna ilişkin herhangi bir belge istenmeyecektir. </w:t>
            </w:r>
          </w:p>
          <w:p w:rsidR="004B0046" w:rsidRPr="008545D7" w:rsidRDefault="004B0046" w:rsidP="00B61578">
            <w:pPr>
              <w:tabs>
                <w:tab w:val="left" w:pos="566"/>
              </w:tabs>
              <w:spacing w:after="0"/>
              <w:ind w:firstLine="566"/>
              <w:jc w:val="both"/>
              <w:rPr>
                <w:rFonts w:ascii="Arial" w:eastAsia="ヒラギノ明朝 Pro W3" w:hAnsi="Arial" w:cs="Arial"/>
                <w:sz w:val="20"/>
                <w:szCs w:val="18"/>
              </w:rPr>
            </w:pPr>
            <w:r w:rsidRPr="008545D7">
              <w:rPr>
                <w:rFonts w:ascii="Arial" w:eastAsia="ヒラギノ明朝 Pro W3" w:hAnsi="Arial" w:cs="Arial"/>
                <w:sz w:val="20"/>
                <w:szCs w:val="18"/>
              </w:rPr>
              <w:t xml:space="preserve">6.4. 1 Ocak 2013 tarihinden önceki döneme ilişkin aktif abonelere ait mevcut abonelik bilgilerinin Maliye Bakanlığınca (Gelir İdaresi Başkanlığı BTRANS aracılığıyla) duyurulacak format ve standartlar doğrultusunda </w:t>
            </w:r>
            <w:r w:rsidRPr="008545D7">
              <w:rPr>
                <w:rFonts w:ascii="Arial" w:eastAsia="ヒラギノ明朝 Pro W3" w:hAnsi="Arial" w:cs="Arial"/>
                <w:b/>
                <w:color w:val="FF0000"/>
                <w:sz w:val="20"/>
                <w:szCs w:val="18"/>
              </w:rPr>
              <w:t xml:space="preserve">31 Ocak 2013 tarihi saat 24.00’e kadar </w:t>
            </w:r>
            <w:r w:rsidRPr="008545D7">
              <w:rPr>
                <w:rFonts w:ascii="Arial" w:eastAsia="ヒラギノ明朝 Pro W3" w:hAnsi="Arial" w:cs="Arial"/>
                <w:sz w:val="20"/>
                <w:szCs w:val="18"/>
              </w:rPr>
              <w:t xml:space="preserve">elektronik ortamda Maliye Bakanlığına (Gelir İdaresi Başkanlığı BTRANS aracılığıyla) gönderilmesi gerekmektedir. </w:t>
            </w:r>
          </w:p>
          <w:p w:rsidR="004B0046" w:rsidRPr="008545D7" w:rsidRDefault="004B0046" w:rsidP="00B61578">
            <w:pPr>
              <w:tabs>
                <w:tab w:val="left" w:pos="566"/>
              </w:tabs>
              <w:spacing w:after="0"/>
              <w:ind w:firstLine="566"/>
              <w:jc w:val="both"/>
              <w:rPr>
                <w:rFonts w:ascii="Arial" w:eastAsia="ヒラギノ明朝 Pro W3" w:hAnsi="Arial" w:cs="Arial"/>
                <w:sz w:val="20"/>
                <w:szCs w:val="18"/>
              </w:rPr>
            </w:pPr>
            <w:r w:rsidRPr="008545D7">
              <w:rPr>
                <w:rFonts w:ascii="Arial" w:eastAsia="ヒラギノ明朝 Pro W3" w:hAnsi="Arial" w:cs="Arial"/>
                <w:sz w:val="20"/>
                <w:szCs w:val="18"/>
              </w:rPr>
              <w:t xml:space="preserve">6.5. 1 Ocak 2013 tarihinden önceki döneme ilişkin aktif abonelere ait abonelik bilgilerinin Maliye Bakanlığınca (Gelir İdaresi Başkanlığı BTRANS aracılığıyla) duyurulacak format ve standartlar doğrultusunda güncellenerek </w:t>
            </w:r>
            <w:r w:rsidRPr="008545D7">
              <w:rPr>
                <w:rFonts w:ascii="Arial" w:eastAsia="ヒラギノ明朝 Pro W3" w:hAnsi="Arial" w:cs="Arial"/>
                <w:b/>
                <w:sz w:val="20"/>
                <w:szCs w:val="18"/>
                <w:highlight w:val="yellow"/>
              </w:rPr>
              <w:t>en geç 31 Aralık 2013 tarihi saat 24.00’e kadar elektronik ortamda Maliye Bakanlığına (</w:t>
            </w:r>
            <w:r w:rsidRPr="008545D7">
              <w:rPr>
                <w:rFonts w:ascii="Arial" w:eastAsia="ヒラギノ明朝 Pro W3" w:hAnsi="Arial" w:cs="Arial"/>
                <w:sz w:val="20"/>
                <w:szCs w:val="18"/>
              </w:rPr>
              <w:t xml:space="preserve">Gelir İdaresi Başkanlığı BTRANS aracılığıyla) </w:t>
            </w:r>
            <w:r w:rsidRPr="008545D7">
              <w:rPr>
                <w:rFonts w:ascii="Arial" w:eastAsia="ヒラギノ明朝 Pro W3" w:hAnsi="Arial" w:cs="Arial"/>
                <w:b/>
                <w:sz w:val="20"/>
                <w:szCs w:val="18"/>
                <w:highlight w:val="yellow"/>
              </w:rPr>
              <w:t>gönderilmesi gerekmektedir.</w:t>
            </w:r>
          </w:p>
          <w:p w:rsidR="004B0046" w:rsidRPr="008545D7" w:rsidRDefault="004B0046" w:rsidP="00B61578">
            <w:pPr>
              <w:tabs>
                <w:tab w:val="left" w:pos="566"/>
              </w:tabs>
              <w:spacing w:after="0"/>
              <w:ind w:firstLine="566"/>
              <w:jc w:val="both"/>
              <w:rPr>
                <w:rFonts w:ascii="Arial" w:eastAsia="ヒラギノ明朝 Pro W3" w:hAnsi="Arial" w:cs="Arial"/>
                <w:b/>
                <w:sz w:val="20"/>
                <w:szCs w:val="18"/>
              </w:rPr>
            </w:pPr>
            <w:r w:rsidRPr="008545D7">
              <w:rPr>
                <w:rFonts w:ascii="Arial" w:eastAsia="ヒラギノ明朝 Pro W3" w:hAnsi="Arial" w:cs="Arial"/>
                <w:b/>
                <w:sz w:val="20"/>
                <w:szCs w:val="18"/>
              </w:rPr>
              <w:t>7. Cezai yaptırımlar</w:t>
            </w:r>
          </w:p>
          <w:p w:rsidR="004B0046" w:rsidRPr="008545D7" w:rsidRDefault="004B0046" w:rsidP="00B61578">
            <w:pPr>
              <w:tabs>
                <w:tab w:val="left" w:pos="566"/>
              </w:tabs>
              <w:spacing w:after="0"/>
              <w:ind w:firstLine="566"/>
              <w:jc w:val="both"/>
              <w:rPr>
                <w:rFonts w:ascii="Arial" w:eastAsia="ヒラギノ明朝 Pro W3" w:hAnsi="Arial" w:cs="Arial"/>
                <w:sz w:val="20"/>
                <w:szCs w:val="18"/>
              </w:rPr>
            </w:pPr>
            <w:r w:rsidRPr="008545D7">
              <w:rPr>
                <w:rFonts w:ascii="Arial" w:eastAsia="ヒラギノ明朝 Pro W3" w:hAnsi="Arial" w:cs="Arial"/>
                <w:sz w:val="20"/>
                <w:szCs w:val="18"/>
              </w:rPr>
              <w:t>7.1. Bu Tebliğ ile getirilen zorunluluklara uymayanlar hakkında işledikleri fiillere göre, 213 sayılı Kanunun 353 üncü maddesinin 7 ve 9 numaralı fıkraları, aynı Kanunun mükerrer 355 inci maddesi ve 4358 sayılı Kanunun 5 inci maddesinde yazılı cezalar tatbik olunur.</w:t>
            </w:r>
          </w:p>
          <w:p w:rsidR="004B0046" w:rsidRPr="004B0046" w:rsidRDefault="004B0046" w:rsidP="00B61578">
            <w:pPr>
              <w:tabs>
                <w:tab w:val="left" w:pos="566"/>
              </w:tabs>
              <w:spacing w:after="0"/>
              <w:ind w:firstLine="566"/>
              <w:jc w:val="both"/>
              <w:rPr>
                <w:rFonts w:ascii="Arial" w:eastAsia="ヒラギノ明朝 Pro W3" w:hAnsi="Arial" w:cs="Arial"/>
                <w:szCs w:val="18"/>
              </w:rPr>
            </w:pPr>
            <w:r w:rsidRPr="004B0046">
              <w:rPr>
                <w:rFonts w:ascii="Arial" w:eastAsia="ヒラギノ明朝 Pro W3" w:hAnsi="Arial" w:cs="Arial"/>
                <w:szCs w:val="18"/>
              </w:rPr>
              <w:t>Tebliğ olunur.</w:t>
            </w:r>
          </w:p>
        </w:tc>
      </w:tr>
    </w:tbl>
    <w:p w:rsidR="00AE7632" w:rsidRPr="004B0046" w:rsidRDefault="00AE7632" w:rsidP="00B61578">
      <w:pPr>
        <w:rPr>
          <w:rFonts w:ascii="Arial" w:hAnsi="Arial" w:cs="Arial"/>
          <w:sz w:val="28"/>
        </w:rPr>
      </w:pPr>
    </w:p>
    <w:sectPr w:rsidR="00AE7632" w:rsidRPr="004B0046" w:rsidSect="00AE763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B2A" w:rsidRDefault="00872B2A" w:rsidP="00B61578">
      <w:pPr>
        <w:spacing w:after="0" w:line="240" w:lineRule="auto"/>
      </w:pPr>
      <w:r>
        <w:separator/>
      </w:r>
    </w:p>
  </w:endnote>
  <w:endnote w:type="continuationSeparator" w:id="0">
    <w:p w:rsidR="00872B2A" w:rsidRDefault="00872B2A" w:rsidP="00B61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roman"/>
    <w:pitch w:val="variable"/>
    <w:sig w:usb0="00000001" w:usb1="08070000" w:usb2="00000010" w:usb3="00000000" w:csb0="00020000" w:csb1="00000000"/>
  </w:font>
  <w:font w:name="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A2"/>
    <w:family w:val="swiss"/>
    <w:pitch w:val="variable"/>
    <w:sig w:usb0="20002A87" w:usb1="00000000" w:usb2="00000000"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6645"/>
      <w:docPartObj>
        <w:docPartGallery w:val="Page Numbers (Bottom of Page)"/>
        <w:docPartUnique/>
      </w:docPartObj>
    </w:sdtPr>
    <w:sdtContent>
      <w:sdt>
        <w:sdtPr>
          <w:id w:val="861459857"/>
          <w:docPartObj>
            <w:docPartGallery w:val="Page Numbers (Top of Page)"/>
            <w:docPartUnique/>
          </w:docPartObj>
        </w:sdtPr>
        <w:sdtContent>
          <w:p w:rsidR="00B61578" w:rsidRDefault="00B61578">
            <w:pPr>
              <w:pStyle w:val="Altbilgi"/>
              <w:jc w:val="center"/>
            </w:pPr>
            <w:r>
              <w:t xml:space="preserve">Sayfa </w:t>
            </w:r>
            <w:r w:rsidR="00FE0FCD">
              <w:rPr>
                <w:b/>
                <w:sz w:val="24"/>
                <w:szCs w:val="24"/>
              </w:rPr>
              <w:fldChar w:fldCharType="begin"/>
            </w:r>
            <w:r>
              <w:rPr>
                <w:b/>
              </w:rPr>
              <w:instrText>PAGE</w:instrText>
            </w:r>
            <w:r w:rsidR="00FE0FCD">
              <w:rPr>
                <w:b/>
                <w:sz w:val="24"/>
                <w:szCs w:val="24"/>
              </w:rPr>
              <w:fldChar w:fldCharType="separate"/>
            </w:r>
            <w:r w:rsidR="00A30677">
              <w:rPr>
                <w:b/>
                <w:noProof/>
              </w:rPr>
              <w:t>3</w:t>
            </w:r>
            <w:r w:rsidR="00FE0FCD">
              <w:rPr>
                <w:b/>
                <w:sz w:val="24"/>
                <w:szCs w:val="24"/>
              </w:rPr>
              <w:fldChar w:fldCharType="end"/>
            </w:r>
            <w:r>
              <w:t xml:space="preserve"> / </w:t>
            </w:r>
            <w:r w:rsidR="00FE0FCD">
              <w:rPr>
                <w:b/>
                <w:sz w:val="24"/>
                <w:szCs w:val="24"/>
              </w:rPr>
              <w:fldChar w:fldCharType="begin"/>
            </w:r>
            <w:r>
              <w:rPr>
                <w:b/>
              </w:rPr>
              <w:instrText>NUMPAGES</w:instrText>
            </w:r>
            <w:r w:rsidR="00FE0FCD">
              <w:rPr>
                <w:b/>
                <w:sz w:val="24"/>
                <w:szCs w:val="24"/>
              </w:rPr>
              <w:fldChar w:fldCharType="separate"/>
            </w:r>
            <w:r w:rsidR="00A30677">
              <w:rPr>
                <w:b/>
                <w:noProof/>
              </w:rPr>
              <w:t>3</w:t>
            </w:r>
            <w:r w:rsidR="00FE0FCD">
              <w:rPr>
                <w:b/>
                <w:sz w:val="24"/>
                <w:szCs w:val="24"/>
              </w:rPr>
              <w:fldChar w:fldCharType="end"/>
            </w:r>
          </w:p>
        </w:sdtContent>
      </w:sdt>
    </w:sdtContent>
  </w:sdt>
  <w:p w:rsidR="00B61578" w:rsidRDefault="00B6157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B2A" w:rsidRDefault="00872B2A" w:rsidP="00B61578">
      <w:pPr>
        <w:spacing w:after="0" w:line="240" w:lineRule="auto"/>
      </w:pPr>
      <w:r>
        <w:separator/>
      </w:r>
    </w:p>
  </w:footnote>
  <w:footnote w:type="continuationSeparator" w:id="0">
    <w:p w:rsidR="00872B2A" w:rsidRDefault="00872B2A" w:rsidP="00B615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jc w:val="center"/>
      <w:tblLook w:val="01E0"/>
    </w:tblPr>
    <w:tblGrid>
      <w:gridCol w:w="2931"/>
      <w:gridCol w:w="2931"/>
      <w:gridCol w:w="2927"/>
    </w:tblGrid>
    <w:tr w:rsidR="00B61578" w:rsidRPr="004B0046" w:rsidTr="002E5913">
      <w:trPr>
        <w:trHeight w:val="317"/>
        <w:jc w:val="center"/>
      </w:trPr>
      <w:tc>
        <w:tcPr>
          <w:tcW w:w="2931" w:type="dxa"/>
          <w:tcBorders>
            <w:top w:val="nil"/>
            <w:left w:val="nil"/>
            <w:bottom w:val="single" w:sz="4" w:space="0" w:color="660066"/>
            <w:right w:val="nil"/>
          </w:tcBorders>
          <w:vAlign w:val="center"/>
          <w:hideMark/>
        </w:tcPr>
        <w:p w:rsidR="00B61578" w:rsidRPr="004B0046" w:rsidRDefault="00B61578" w:rsidP="002E5913">
          <w:pPr>
            <w:tabs>
              <w:tab w:val="left" w:pos="567"/>
              <w:tab w:val="center" w:pos="994"/>
              <w:tab w:val="center" w:pos="3543"/>
              <w:tab w:val="right" w:pos="6520"/>
            </w:tabs>
            <w:spacing w:after="0"/>
            <w:rPr>
              <w:rFonts w:ascii="Arial" w:eastAsia="Times New Roman" w:hAnsi="Arial" w:cs="Arial"/>
              <w:b/>
              <w:sz w:val="16"/>
              <w:szCs w:val="16"/>
              <w:lang w:eastAsia="tr-TR"/>
            </w:rPr>
          </w:pPr>
          <w:r w:rsidRPr="004B0046">
            <w:rPr>
              <w:rFonts w:ascii="Arial" w:eastAsia="Times New Roman" w:hAnsi="Arial" w:cs="Arial"/>
              <w:sz w:val="16"/>
              <w:szCs w:val="16"/>
              <w:lang w:eastAsia="tr-TR"/>
            </w:rPr>
            <w:t>7 Aralık 2012 CUMA</w:t>
          </w:r>
        </w:p>
      </w:tc>
      <w:tc>
        <w:tcPr>
          <w:tcW w:w="2931" w:type="dxa"/>
          <w:tcBorders>
            <w:top w:val="nil"/>
            <w:left w:val="nil"/>
            <w:bottom w:val="single" w:sz="4" w:space="0" w:color="660066"/>
            <w:right w:val="nil"/>
          </w:tcBorders>
          <w:vAlign w:val="center"/>
          <w:hideMark/>
        </w:tcPr>
        <w:p w:rsidR="00B61578" w:rsidRPr="004B0046" w:rsidRDefault="00B61578" w:rsidP="002E5913">
          <w:pPr>
            <w:tabs>
              <w:tab w:val="left" w:pos="567"/>
              <w:tab w:val="center" w:pos="994"/>
              <w:tab w:val="center" w:pos="3543"/>
              <w:tab w:val="right" w:pos="6520"/>
            </w:tabs>
            <w:spacing w:after="0"/>
            <w:jc w:val="center"/>
            <w:rPr>
              <w:rFonts w:ascii="Palatino Linotype" w:eastAsia="Times New Roman" w:hAnsi="Palatino Linotype" w:cs="Times New Roman"/>
              <w:b/>
              <w:color w:val="800080"/>
              <w:sz w:val="24"/>
              <w:szCs w:val="24"/>
              <w:lang w:eastAsia="tr-TR"/>
            </w:rPr>
          </w:pPr>
          <w:r w:rsidRPr="004B004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B0046" w:rsidRPr="004B0046" w:rsidRDefault="00B61578" w:rsidP="002E5913">
          <w:pPr>
            <w:spacing w:before="100" w:beforeAutospacing="1" w:after="100" w:afterAutospacing="1"/>
            <w:jc w:val="right"/>
            <w:rPr>
              <w:rFonts w:ascii="Arial" w:eastAsia="Times New Roman" w:hAnsi="Arial" w:cs="Arial"/>
              <w:b/>
              <w:sz w:val="16"/>
              <w:szCs w:val="16"/>
              <w:lang w:eastAsia="tr-TR"/>
            </w:rPr>
          </w:pPr>
          <w:proofErr w:type="gramStart"/>
          <w:r w:rsidRPr="004B0046">
            <w:rPr>
              <w:rFonts w:ascii="Arial" w:eastAsia="Times New Roman" w:hAnsi="Arial" w:cs="Arial"/>
              <w:sz w:val="16"/>
              <w:szCs w:val="16"/>
              <w:lang w:eastAsia="tr-TR"/>
            </w:rPr>
            <w:t>Sayı : 28490</w:t>
          </w:r>
          <w:proofErr w:type="gramEnd"/>
        </w:p>
      </w:tc>
    </w:tr>
    <w:tr w:rsidR="00B61578" w:rsidRPr="004B0046" w:rsidTr="002E5913">
      <w:trPr>
        <w:trHeight w:val="480"/>
        <w:jc w:val="center"/>
      </w:trPr>
      <w:tc>
        <w:tcPr>
          <w:tcW w:w="8789" w:type="dxa"/>
          <w:gridSpan w:val="3"/>
          <w:vAlign w:val="center"/>
          <w:hideMark/>
        </w:tcPr>
        <w:p w:rsidR="004B0046" w:rsidRPr="004B0046" w:rsidRDefault="00B61578" w:rsidP="002E5913">
          <w:pPr>
            <w:spacing w:before="100" w:beforeAutospacing="1" w:after="100" w:afterAutospacing="1"/>
            <w:jc w:val="center"/>
            <w:rPr>
              <w:rFonts w:ascii="Arial" w:eastAsia="Times New Roman" w:hAnsi="Arial" w:cs="Arial"/>
              <w:b/>
              <w:color w:val="000080"/>
              <w:sz w:val="18"/>
              <w:szCs w:val="18"/>
              <w:lang w:eastAsia="tr-TR"/>
            </w:rPr>
          </w:pPr>
          <w:r w:rsidRPr="004B0046">
            <w:rPr>
              <w:rFonts w:ascii="Arial" w:eastAsia="Times New Roman" w:hAnsi="Arial" w:cs="Arial"/>
              <w:b/>
              <w:color w:val="000080"/>
              <w:sz w:val="18"/>
              <w:szCs w:val="18"/>
              <w:lang w:eastAsia="tr-TR"/>
            </w:rPr>
            <w:t>TEBLİĞ</w:t>
          </w:r>
        </w:p>
      </w:tc>
    </w:tr>
  </w:tbl>
  <w:p w:rsidR="00B61578" w:rsidRDefault="00B6157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B0046"/>
    <w:rsid w:val="001A4D09"/>
    <w:rsid w:val="00274B93"/>
    <w:rsid w:val="0032634E"/>
    <w:rsid w:val="004B0046"/>
    <w:rsid w:val="00570DAF"/>
    <w:rsid w:val="005F710A"/>
    <w:rsid w:val="00673E47"/>
    <w:rsid w:val="008545D7"/>
    <w:rsid w:val="00872B2A"/>
    <w:rsid w:val="009963CC"/>
    <w:rsid w:val="009C54D3"/>
    <w:rsid w:val="00A30677"/>
    <w:rsid w:val="00A42FFC"/>
    <w:rsid w:val="00AE7632"/>
    <w:rsid w:val="00B61578"/>
    <w:rsid w:val="00CD15F1"/>
    <w:rsid w:val="00D2216C"/>
    <w:rsid w:val="00E01697"/>
    <w:rsid w:val="00EE02F9"/>
    <w:rsid w:val="00FE0F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B0046"/>
    <w:pPr>
      <w:spacing w:before="100" w:beforeAutospacing="1" w:after="100" w:afterAutospacing="1" w:line="240" w:lineRule="auto"/>
    </w:pPr>
    <w:rPr>
      <w:rFonts w:eastAsia="Times New Roman" w:cs="Times New Roman"/>
      <w:sz w:val="24"/>
      <w:szCs w:val="24"/>
      <w:lang w:eastAsia="tr-TR"/>
    </w:rPr>
  </w:style>
  <w:style w:type="paragraph" w:customStyle="1" w:styleId="1-Baslk">
    <w:name w:val="1-Baslık"/>
    <w:rsid w:val="004B0046"/>
    <w:pPr>
      <w:tabs>
        <w:tab w:val="left" w:pos="566"/>
      </w:tabs>
      <w:spacing w:after="0" w:line="240" w:lineRule="auto"/>
    </w:pPr>
    <w:rPr>
      <w:rFonts w:eastAsia="ヒラギノ明朝 Pro W3" w:hAnsi="Times" w:cs="Times New Roman"/>
      <w:szCs w:val="20"/>
      <w:u w:val="single"/>
    </w:rPr>
  </w:style>
  <w:style w:type="paragraph" w:customStyle="1" w:styleId="2-OrtaBaslk">
    <w:name w:val="2-Orta Baslık"/>
    <w:rsid w:val="004B0046"/>
    <w:pPr>
      <w:spacing w:after="0" w:line="240" w:lineRule="auto"/>
      <w:jc w:val="center"/>
    </w:pPr>
    <w:rPr>
      <w:rFonts w:eastAsia="ヒラギノ明朝 Pro W3" w:hAnsi="Times" w:cs="Times New Roman"/>
      <w:b/>
      <w:sz w:val="19"/>
      <w:szCs w:val="20"/>
    </w:rPr>
  </w:style>
  <w:style w:type="paragraph" w:customStyle="1" w:styleId="3-NormalYaz">
    <w:name w:val="3-Normal Yazı"/>
    <w:rsid w:val="004B0046"/>
    <w:pPr>
      <w:tabs>
        <w:tab w:val="left" w:pos="566"/>
      </w:tabs>
      <w:spacing w:after="0" w:line="240" w:lineRule="auto"/>
      <w:jc w:val="both"/>
    </w:pPr>
    <w:rPr>
      <w:rFonts w:eastAsia="ヒラギノ明朝 Pro W3" w:hAnsi="Times" w:cs="Times New Roman"/>
      <w:sz w:val="19"/>
      <w:szCs w:val="20"/>
    </w:rPr>
  </w:style>
  <w:style w:type="paragraph" w:styleId="stbilgi">
    <w:name w:val="header"/>
    <w:basedOn w:val="Normal"/>
    <w:link w:val="stbilgiChar"/>
    <w:uiPriority w:val="99"/>
    <w:semiHidden/>
    <w:unhideWhenUsed/>
    <w:rsid w:val="00B6157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61578"/>
  </w:style>
  <w:style w:type="paragraph" w:styleId="Altbilgi">
    <w:name w:val="footer"/>
    <w:basedOn w:val="Normal"/>
    <w:link w:val="AltbilgiChar"/>
    <w:uiPriority w:val="99"/>
    <w:unhideWhenUsed/>
    <w:rsid w:val="00B615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615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YÜKSEL</dc:creator>
  <cp:keywords/>
  <dc:description/>
  <cp:lastModifiedBy>Ali YÜKSEL</cp:lastModifiedBy>
  <cp:revision>9</cp:revision>
  <cp:lastPrinted>2012-12-07T09:31:00Z</cp:lastPrinted>
  <dcterms:created xsi:type="dcterms:W3CDTF">2012-12-07T09:16:00Z</dcterms:created>
  <dcterms:modified xsi:type="dcterms:W3CDTF">2012-12-07T11:00:00Z</dcterms:modified>
</cp:coreProperties>
</file>