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0" w:rsidRDefault="005B09C0" w:rsidP="00261DCC">
      <w:pPr>
        <w:tabs>
          <w:tab w:val="left" w:pos="566"/>
        </w:tabs>
        <w:spacing w:after="0" w:line="240" w:lineRule="exact"/>
        <w:jc w:val="center"/>
        <w:rPr>
          <w:rFonts w:eastAsia="ヒラギノ明朝 Pro W3" w:cs="Times New Roman"/>
          <w:b/>
          <w:sz w:val="28"/>
          <w:szCs w:val="18"/>
        </w:rPr>
      </w:pPr>
    </w:p>
    <w:p w:rsidR="005B09C0" w:rsidRDefault="005B09C0" w:rsidP="00261DCC">
      <w:pPr>
        <w:tabs>
          <w:tab w:val="left" w:pos="566"/>
        </w:tabs>
        <w:spacing w:after="0" w:line="240" w:lineRule="exact"/>
        <w:jc w:val="center"/>
        <w:rPr>
          <w:rFonts w:eastAsia="ヒラギノ明朝 Pro W3" w:cs="Times New Roman"/>
          <w:b/>
          <w:sz w:val="28"/>
          <w:szCs w:val="18"/>
        </w:rPr>
      </w:pPr>
    </w:p>
    <w:tbl>
      <w:tblPr>
        <w:tblW w:w="8789" w:type="dxa"/>
        <w:jc w:val="center"/>
        <w:tblLook w:val="01E0" w:firstRow="1" w:lastRow="1" w:firstColumn="1" w:lastColumn="1" w:noHBand="0" w:noVBand="0"/>
      </w:tblPr>
      <w:tblGrid>
        <w:gridCol w:w="2931"/>
        <w:gridCol w:w="2931"/>
        <w:gridCol w:w="2927"/>
      </w:tblGrid>
      <w:tr w:rsidR="005B09C0" w:rsidRPr="005B09C0">
        <w:trPr>
          <w:trHeight w:val="317"/>
          <w:jc w:val="center"/>
        </w:trPr>
        <w:tc>
          <w:tcPr>
            <w:tcW w:w="2931" w:type="dxa"/>
            <w:tcBorders>
              <w:top w:val="nil"/>
              <w:left w:val="nil"/>
              <w:bottom w:val="single" w:sz="4" w:space="0" w:color="660066"/>
              <w:right w:val="nil"/>
            </w:tcBorders>
            <w:vAlign w:val="center"/>
            <w:hideMark/>
          </w:tcPr>
          <w:p w:rsidR="005B09C0" w:rsidRPr="005B09C0" w:rsidRDefault="005B09C0" w:rsidP="005B09C0">
            <w:pPr>
              <w:tabs>
                <w:tab w:val="left" w:pos="567"/>
                <w:tab w:val="center" w:pos="994"/>
                <w:tab w:val="center" w:pos="3543"/>
                <w:tab w:val="right" w:pos="6520"/>
              </w:tabs>
              <w:spacing w:after="0" w:line="240" w:lineRule="exact"/>
              <w:rPr>
                <w:rFonts w:ascii="Arial" w:eastAsia="Times New Roman" w:hAnsi="Arial" w:cs="Arial"/>
                <w:b/>
                <w:szCs w:val="16"/>
                <w:lang w:eastAsia="tr-TR"/>
              </w:rPr>
            </w:pPr>
            <w:r w:rsidRPr="005B09C0">
              <w:rPr>
                <w:rFonts w:ascii="Arial" w:eastAsia="Times New Roman" w:hAnsi="Arial" w:cs="Arial"/>
                <w:szCs w:val="16"/>
                <w:lang w:eastAsia="tr-TR"/>
              </w:rPr>
              <w:t>2 Ağustos 2013 CUMA</w:t>
            </w:r>
          </w:p>
        </w:tc>
        <w:tc>
          <w:tcPr>
            <w:tcW w:w="2931" w:type="dxa"/>
            <w:tcBorders>
              <w:top w:val="nil"/>
              <w:left w:val="nil"/>
              <w:bottom w:val="single" w:sz="4" w:space="0" w:color="660066"/>
              <w:right w:val="nil"/>
            </w:tcBorders>
            <w:vAlign w:val="center"/>
            <w:hideMark/>
          </w:tcPr>
          <w:p w:rsidR="005B09C0" w:rsidRPr="005B09C0" w:rsidRDefault="005B09C0" w:rsidP="005B09C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Cs w:val="24"/>
                <w:lang w:eastAsia="tr-TR"/>
              </w:rPr>
            </w:pPr>
            <w:r w:rsidRPr="005B09C0">
              <w:rPr>
                <w:rFonts w:ascii="Palatino Linotype" w:eastAsia="Times New Roman" w:hAnsi="Palatino Linotype" w:cs="Times New Roman"/>
                <w:b/>
                <w:color w:val="800080"/>
                <w:szCs w:val="24"/>
                <w:lang w:eastAsia="tr-TR"/>
              </w:rPr>
              <w:t>Resmî Gazete</w:t>
            </w:r>
          </w:p>
        </w:tc>
        <w:tc>
          <w:tcPr>
            <w:tcW w:w="2927" w:type="dxa"/>
            <w:tcBorders>
              <w:top w:val="nil"/>
              <w:left w:val="nil"/>
              <w:bottom w:val="single" w:sz="4" w:space="0" w:color="660066"/>
              <w:right w:val="nil"/>
            </w:tcBorders>
            <w:vAlign w:val="center"/>
            <w:hideMark/>
          </w:tcPr>
          <w:p w:rsidR="005B09C0" w:rsidRPr="005B09C0" w:rsidRDefault="005B09C0" w:rsidP="005B09C0">
            <w:pPr>
              <w:spacing w:before="100" w:beforeAutospacing="1" w:after="100" w:afterAutospacing="1" w:line="240" w:lineRule="auto"/>
              <w:jc w:val="right"/>
              <w:rPr>
                <w:rFonts w:ascii="Arial" w:eastAsia="Times New Roman" w:hAnsi="Arial" w:cs="Arial"/>
                <w:b/>
                <w:szCs w:val="16"/>
                <w:lang w:eastAsia="tr-TR"/>
              </w:rPr>
            </w:pPr>
            <w:proofErr w:type="gramStart"/>
            <w:r w:rsidRPr="005B09C0">
              <w:rPr>
                <w:rFonts w:ascii="Arial" w:eastAsia="Times New Roman" w:hAnsi="Arial" w:cs="Arial"/>
                <w:szCs w:val="16"/>
                <w:lang w:eastAsia="tr-TR"/>
              </w:rPr>
              <w:t>Sayı : 28726</w:t>
            </w:r>
            <w:proofErr w:type="gramEnd"/>
          </w:p>
        </w:tc>
      </w:tr>
      <w:tr w:rsidR="005B09C0" w:rsidRPr="005B09C0">
        <w:trPr>
          <w:trHeight w:val="480"/>
          <w:jc w:val="center"/>
        </w:trPr>
        <w:tc>
          <w:tcPr>
            <w:tcW w:w="8789" w:type="dxa"/>
            <w:gridSpan w:val="3"/>
            <w:vAlign w:val="center"/>
            <w:hideMark/>
          </w:tcPr>
          <w:p w:rsidR="005B09C0" w:rsidRPr="005B09C0" w:rsidRDefault="005B09C0" w:rsidP="005B09C0">
            <w:pPr>
              <w:spacing w:before="100" w:beforeAutospacing="1" w:after="100" w:afterAutospacing="1" w:line="240" w:lineRule="auto"/>
              <w:jc w:val="center"/>
              <w:rPr>
                <w:rFonts w:ascii="Arial" w:eastAsia="Times New Roman" w:hAnsi="Arial" w:cs="Arial"/>
                <w:b/>
                <w:color w:val="000080"/>
                <w:sz w:val="28"/>
                <w:szCs w:val="18"/>
                <w:lang w:eastAsia="tr-TR"/>
              </w:rPr>
            </w:pPr>
          </w:p>
          <w:p w:rsidR="005B09C0" w:rsidRPr="005B09C0" w:rsidRDefault="005B09C0" w:rsidP="005B09C0">
            <w:pPr>
              <w:spacing w:before="100" w:beforeAutospacing="1" w:after="100" w:afterAutospacing="1" w:line="240" w:lineRule="auto"/>
              <w:jc w:val="center"/>
              <w:rPr>
                <w:rFonts w:ascii="Arial" w:eastAsia="Times New Roman" w:hAnsi="Arial" w:cs="Arial"/>
                <w:b/>
                <w:color w:val="000080"/>
                <w:szCs w:val="18"/>
                <w:lang w:eastAsia="tr-TR"/>
              </w:rPr>
            </w:pPr>
            <w:r w:rsidRPr="005B09C0">
              <w:rPr>
                <w:rFonts w:ascii="Arial" w:eastAsia="Times New Roman" w:hAnsi="Arial" w:cs="Arial"/>
                <w:b/>
                <w:color w:val="000080"/>
                <w:sz w:val="28"/>
                <w:szCs w:val="18"/>
                <w:lang w:eastAsia="tr-TR"/>
              </w:rPr>
              <w:t>KANUN</w:t>
            </w:r>
          </w:p>
        </w:tc>
      </w:tr>
    </w:tbl>
    <w:p w:rsidR="005B09C0" w:rsidRPr="00261DCC" w:rsidRDefault="005B09C0" w:rsidP="00261DCC">
      <w:pPr>
        <w:tabs>
          <w:tab w:val="left" w:pos="566"/>
        </w:tabs>
        <w:spacing w:after="0" w:line="240" w:lineRule="exact"/>
        <w:jc w:val="center"/>
        <w:rPr>
          <w:rFonts w:eastAsia="ヒラギノ明朝 Pro W3" w:cs="Times New Roman"/>
          <w:b/>
          <w:sz w:val="28"/>
          <w:szCs w:val="18"/>
        </w:rPr>
      </w:pPr>
    </w:p>
    <w:p w:rsidR="00261DCC" w:rsidRPr="00261DCC" w:rsidRDefault="00261DCC" w:rsidP="00261DCC">
      <w:pPr>
        <w:tabs>
          <w:tab w:val="left" w:pos="566"/>
        </w:tabs>
        <w:spacing w:after="0" w:line="240" w:lineRule="exact"/>
        <w:jc w:val="center"/>
        <w:rPr>
          <w:rFonts w:eastAsia="ヒラギノ明朝 Pro W3" w:cs="Times New Roman"/>
          <w:b/>
          <w:sz w:val="28"/>
          <w:szCs w:val="18"/>
        </w:rPr>
      </w:pPr>
      <w:r w:rsidRPr="00261DCC">
        <w:rPr>
          <w:rFonts w:eastAsia="ヒラギノ明朝 Pro W3" w:cs="Times New Roman"/>
          <w:b/>
          <w:sz w:val="28"/>
          <w:szCs w:val="18"/>
        </w:rPr>
        <w:t>BAZI KANUN VE KANUN HÜKMÜNDE KARARNAMELERDE</w:t>
      </w:r>
    </w:p>
    <w:p w:rsidR="00261DCC" w:rsidRPr="00261DCC" w:rsidRDefault="00261DCC" w:rsidP="00261DCC">
      <w:pPr>
        <w:tabs>
          <w:tab w:val="left" w:pos="566"/>
        </w:tabs>
        <w:spacing w:after="0" w:line="240" w:lineRule="exact"/>
        <w:jc w:val="center"/>
        <w:rPr>
          <w:rFonts w:eastAsia="ヒラギノ明朝 Pro W3" w:cs="Times New Roman"/>
          <w:b/>
          <w:sz w:val="28"/>
          <w:szCs w:val="18"/>
        </w:rPr>
      </w:pPr>
      <w:r w:rsidRPr="00261DCC">
        <w:rPr>
          <w:rFonts w:eastAsia="ヒラギノ明朝 Pro W3" w:cs="Times New Roman"/>
          <w:b/>
          <w:sz w:val="28"/>
          <w:szCs w:val="18"/>
        </w:rPr>
        <w:t>DEĞ</w:t>
      </w:r>
      <w:bookmarkStart w:id="0" w:name="_GoBack"/>
      <w:bookmarkEnd w:id="0"/>
      <w:r w:rsidRPr="00261DCC">
        <w:rPr>
          <w:rFonts w:eastAsia="ヒラギノ明朝 Pro W3" w:cs="Times New Roman"/>
          <w:b/>
          <w:sz w:val="28"/>
          <w:szCs w:val="18"/>
        </w:rPr>
        <w:t>İŞİKLİK YAPILMASINA DAİR KANUN</w:t>
      </w:r>
    </w:p>
    <w:p w:rsidR="00261DCC" w:rsidRDefault="00261DCC" w:rsidP="00261DCC">
      <w:pPr>
        <w:tabs>
          <w:tab w:val="left" w:pos="566"/>
          <w:tab w:val="right" w:pos="8391"/>
        </w:tabs>
        <w:spacing w:after="0" w:line="240" w:lineRule="exact"/>
        <w:ind w:firstLine="567"/>
        <w:jc w:val="both"/>
        <w:rPr>
          <w:rFonts w:eastAsia="ヒラギノ明朝 Pro W3" w:cs="Times New Roman"/>
          <w:b/>
          <w:sz w:val="28"/>
          <w:szCs w:val="18"/>
          <w:u w:val="single"/>
        </w:rPr>
      </w:pPr>
    </w:p>
    <w:p w:rsidR="00261DCC" w:rsidRDefault="00261DCC" w:rsidP="00261DCC">
      <w:pPr>
        <w:tabs>
          <w:tab w:val="left" w:pos="566"/>
          <w:tab w:val="right" w:pos="8391"/>
        </w:tabs>
        <w:spacing w:after="0" w:line="240" w:lineRule="exact"/>
        <w:ind w:firstLine="567"/>
        <w:jc w:val="both"/>
        <w:rPr>
          <w:rFonts w:eastAsia="ヒラギノ明朝 Pro W3" w:cs="Times New Roman"/>
          <w:b/>
          <w:sz w:val="28"/>
          <w:szCs w:val="18"/>
          <w:u w:val="single"/>
        </w:rPr>
      </w:pPr>
      <w:r w:rsidRPr="00261DCC">
        <w:rPr>
          <w:rFonts w:eastAsia="ヒラギノ明朝 Pro W3" w:cs="Times New Roman"/>
          <w:b/>
          <w:sz w:val="28"/>
          <w:szCs w:val="18"/>
          <w:u w:val="single"/>
        </w:rPr>
        <w:t>Kanun No. 6495</w:t>
      </w:r>
      <w:r w:rsidRPr="00261DCC">
        <w:rPr>
          <w:rFonts w:eastAsia="ヒラギノ明朝 Pro W3" w:cs="Times New Roman"/>
          <w:b/>
          <w:sz w:val="28"/>
          <w:szCs w:val="18"/>
        </w:rPr>
        <w:tab/>
      </w:r>
      <w:r w:rsidRPr="00261DCC">
        <w:rPr>
          <w:rFonts w:eastAsia="ヒラギノ明朝 Pro W3" w:cs="Times New Roman"/>
          <w:b/>
          <w:sz w:val="28"/>
          <w:szCs w:val="18"/>
          <w:u w:val="single"/>
        </w:rPr>
        <w:t xml:space="preserve">Kabul Tarihi: </w:t>
      </w:r>
      <w:proofErr w:type="gramStart"/>
      <w:r w:rsidRPr="00261DCC">
        <w:rPr>
          <w:rFonts w:eastAsia="ヒラギノ明朝 Pro W3" w:cs="Times New Roman"/>
          <w:b/>
          <w:sz w:val="28"/>
          <w:szCs w:val="18"/>
          <w:u w:val="single"/>
        </w:rPr>
        <w:t>12/7/2013</w:t>
      </w:r>
      <w:proofErr w:type="gramEnd"/>
    </w:p>
    <w:p w:rsidR="00261DCC" w:rsidRPr="00261DCC" w:rsidRDefault="00261DCC" w:rsidP="00261DCC">
      <w:pPr>
        <w:tabs>
          <w:tab w:val="left" w:pos="566"/>
          <w:tab w:val="right" w:pos="8391"/>
        </w:tabs>
        <w:spacing w:after="0" w:line="240" w:lineRule="exact"/>
        <w:ind w:firstLine="567"/>
        <w:jc w:val="both"/>
        <w:rPr>
          <w:rFonts w:eastAsia="ヒラギノ明朝 Pro W3" w:cs="Times New Roman"/>
          <w:b/>
          <w:sz w:val="28"/>
          <w:szCs w:val="18"/>
          <w:u w:val="single"/>
        </w:rPr>
      </w:pPr>
    </w:p>
    <w:p w:rsidR="00261DCC" w:rsidRPr="00261DCC" w:rsidRDefault="00261DCC" w:rsidP="00261DCC">
      <w:pPr>
        <w:tabs>
          <w:tab w:val="left" w:pos="566"/>
        </w:tabs>
        <w:spacing w:after="0" w:line="240" w:lineRule="exact"/>
        <w:ind w:firstLine="566"/>
        <w:jc w:val="both"/>
        <w:rPr>
          <w:rFonts w:eastAsia="ヒラギノ明朝 Pro W3" w:cs="Times New Roman"/>
          <w:b/>
          <w:sz w:val="28"/>
          <w:szCs w:val="18"/>
        </w:rPr>
      </w:pPr>
    </w:p>
    <w:p w:rsidR="00261DCC" w:rsidRPr="00261DCC" w:rsidRDefault="00261DCC" w:rsidP="00261DCC">
      <w:pPr>
        <w:tabs>
          <w:tab w:val="left" w:pos="566"/>
        </w:tabs>
        <w:spacing w:after="0" w:line="240" w:lineRule="exact"/>
        <w:ind w:firstLine="566"/>
        <w:jc w:val="both"/>
        <w:rPr>
          <w:rFonts w:eastAsia="ヒラギノ明朝 Pro W3" w:cs="Times New Roman"/>
          <w:b/>
          <w:sz w:val="28"/>
          <w:szCs w:val="18"/>
        </w:rPr>
      </w:pPr>
      <w:r w:rsidRPr="00261DCC">
        <w:rPr>
          <w:rFonts w:eastAsia="ヒラギノ明朝 Pro W3" w:cs="Times New Roman"/>
          <w:b/>
          <w:sz w:val="28"/>
          <w:szCs w:val="18"/>
        </w:rPr>
        <w:t>2) 5 inci maddesinin beşinci ve altıncı fıkraları aşağıdaki şekilde değiştirilmiştir.</w:t>
      </w:r>
    </w:p>
    <w:p w:rsidR="00261DCC" w:rsidRPr="00261DCC" w:rsidRDefault="00261DCC" w:rsidP="00261DCC">
      <w:pPr>
        <w:tabs>
          <w:tab w:val="left" w:pos="566"/>
        </w:tabs>
        <w:spacing w:after="0"/>
        <w:ind w:firstLine="566"/>
        <w:jc w:val="both"/>
        <w:rPr>
          <w:rFonts w:eastAsia="ヒラギノ明朝 Pro W3" w:cs="Times New Roman"/>
          <w:b/>
          <w:color w:val="FF0000"/>
          <w:sz w:val="28"/>
          <w:szCs w:val="18"/>
        </w:rPr>
      </w:pPr>
      <w:r w:rsidRPr="00261DCC">
        <w:rPr>
          <w:rFonts w:eastAsia="ヒラギノ明朝 Pro W3" w:cs="Times New Roman"/>
          <w:color w:val="E36C0A" w:themeColor="accent6" w:themeShade="BF"/>
          <w:sz w:val="28"/>
          <w:szCs w:val="18"/>
        </w:rPr>
        <w:t>“</w:t>
      </w:r>
      <w:r w:rsidRPr="00261DCC">
        <w:rPr>
          <w:rFonts w:eastAsia="ヒラギノ明朝 Pro W3" w:cs="Times New Roman"/>
          <w:b/>
          <w:color w:val="E36C0A" w:themeColor="accent6" w:themeShade="BF"/>
          <w:sz w:val="28"/>
          <w:szCs w:val="18"/>
        </w:rPr>
        <w:t>Yapı denetimi hizmeti için yapı denetim kuruluşuna ödenecek hizmet bedeli, yapı denetimi hizmet sözleşmesinde belirtilir.</w:t>
      </w:r>
      <w:r w:rsidRPr="00261DCC">
        <w:rPr>
          <w:rFonts w:eastAsia="ヒラギノ明朝 Pro W3" w:cs="Times New Roman"/>
          <w:b/>
          <w:sz w:val="28"/>
          <w:szCs w:val="18"/>
        </w:rPr>
        <w:t xml:space="preserve"> </w:t>
      </w:r>
      <w:r w:rsidRPr="00261DCC">
        <w:rPr>
          <w:rFonts w:eastAsia="ヒラギノ明朝 Pro W3" w:cs="Times New Roman"/>
          <w:b/>
          <w:color w:val="FF0000"/>
          <w:sz w:val="28"/>
          <w:szCs w:val="18"/>
        </w:rPr>
        <w:t>Bu bedel, yapı yaklaşık maliyetinin %1,5’inden az olamaz</w:t>
      </w:r>
      <w:r w:rsidRPr="00261DCC">
        <w:rPr>
          <w:rFonts w:eastAsia="ヒラギノ明朝 Pro W3" w:cs="Times New Roman"/>
          <w:color w:val="FF0000"/>
          <w:sz w:val="28"/>
          <w:szCs w:val="18"/>
        </w:rPr>
        <w:t xml:space="preserve">. </w:t>
      </w:r>
      <w:r w:rsidRPr="00261DCC">
        <w:rPr>
          <w:rFonts w:eastAsia="ヒラギノ明朝 Pro W3" w:cs="Times New Roman"/>
          <w:sz w:val="28"/>
          <w:szCs w:val="18"/>
        </w:rPr>
        <w:t>Hizmet bedeli oranı, yapım süresi iki yılı aşan iş için yıllık %5 artırılır ve yapım süresi iki yıldan daha az olan işler için yıllık %5 azaltılır. Bu bedele, katma değer vergisi ile yapı denetim kuruluşu tarafından talep edilen ve taşıyıcı sisteme ilişkin olmayan malzeme ve imalâtlar konusunda yapı müteahhidince yaptırılacak olan laboratuvar deneylerinin masrafları dâhil değildir. Yapı denetim kuruluşu, yapı sahibinden başka bir ad altında, ayrıca hiçbir bedel talebinde bulunamaz</w:t>
      </w:r>
      <w:r w:rsidRPr="00261DCC">
        <w:rPr>
          <w:rFonts w:eastAsia="ヒラギノ明朝 Pro W3" w:cs="Times New Roman"/>
          <w:b/>
          <w:sz w:val="44"/>
          <w:szCs w:val="18"/>
        </w:rPr>
        <w:t xml:space="preserve">. </w:t>
      </w:r>
      <w:r w:rsidRPr="00261DCC">
        <w:rPr>
          <w:rFonts w:eastAsia="ヒラギノ明朝 Pro W3" w:cs="Times New Roman"/>
          <w:b/>
          <w:color w:val="FF0000"/>
          <w:sz w:val="28"/>
          <w:szCs w:val="18"/>
          <w:highlight w:val="yellow"/>
        </w:rPr>
        <w:t>Yapı denetim kuruluşlarına ödenecek hizmet bedeli, Endüstri Bölgeleri, Teknoloji Geliştirme Bölgeleri ve Organize Sanayi Bölgeleri onaylı sınırı içerisinde yer alan tüm yapılar için %75 indirimli uygulanır.</w:t>
      </w:r>
    </w:p>
    <w:p w:rsidR="00261DCC" w:rsidRPr="00261DCC" w:rsidRDefault="00261DCC" w:rsidP="00261DCC">
      <w:pPr>
        <w:rPr>
          <w:rFonts w:eastAsia="ヒラギノ明朝 Pro W3" w:cs="Times New Roman"/>
          <w:sz w:val="28"/>
          <w:szCs w:val="18"/>
        </w:rPr>
      </w:pPr>
      <w:r w:rsidRPr="00261DCC">
        <w:rPr>
          <w:rFonts w:eastAsia="ヒラギノ明朝 Pro W3" w:cs="Times New Roman"/>
          <w:sz w:val="28"/>
          <w:szCs w:val="18"/>
        </w:rPr>
        <w:t xml:space="preserve">Yapı denetim hizmet bedeli, yapı denetim kuruluşlarının hizmet bedellerinin ödenmesinde kullanılmak üzere yapı sahibince il muhasebe birimlerinde açılacak emanet nitelikli hesaba yatırılır. </w:t>
      </w:r>
      <w:r w:rsidRPr="00261DCC">
        <w:rPr>
          <w:rFonts w:eastAsia="ヒラギノ明朝 Pro W3" w:cs="Times New Roman"/>
          <w:b/>
          <w:sz w:val="28"/>
          <w:szCs w:val="18"/>
        </w:rPr>
        <w:t>Yatırılan tutarların %3’ü ruhsatı veren idarenin,</w:t>
      </w:r>
      <w:r w:rsidRPr="00261DCC">
        <w:rPr>
          <w:rFonts w:eastAsia="ヒラギノ明朝 Pro W3" w:cs="Times New Roman"/>
          <w:sz w:val="28"/>
          <w:szCs w:val="18"/>
        </w:rPr>
        <w:t xml:space="preserve"> %3’ü Bakanlık bünyesinde bulunan döner sermaye işletmesinin hesabına aktarılır.”</w:t>
      </w:r>
    </w:p>
    <w:p w:rsidR="0010319A" w:rsidRDefault="0010319A" w:rsidP="00261DCC">
      <w:pPr>
        <w:rPr>
          <w:rFonts w:eastAsia="ヒラギノ明朝 Pro W3" w:cs="Times New Roman"/>
          <w:sz w:val="28"/>
          <w:szCs w:val="18"/>
        </w:rPr>
      </w:pPr>
    </w:p>
    <w:p w:rsidR="00261DCC" w:rsidRPr="00261DCC" w:rsidRDefault="00261DCC" w:rsidP="00261DCC">
      <w:pPr>
        <w:rPr>
          <w:sz w:val="36"/>
        </w:rPr>
      </w:pPr>
    </w:p>
    <w:sectPr w:rsidR="00261DCC" w:rsidRPr="00261DCC" w:rsidSect="00261DCC">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DCC"/>
    <w:rsid w:val="0010319A"/>
    <w:rsid w:val="00261DCC"/>
    <w:rsid w:val="005B09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CC"/>
    <w:rPr>
      <w:rFonts w:ascii="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CC"/>
    <w:rPr>
      <w:rFonts w:ascii="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218</Words>
  <Characters>1244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dc:creator>
  <cp:lastModifiedBy>Serkan</cp:lastModifiedBy>
  <cp:revision>2</cp:revision>
  <dcterms:created xsi:type="dcterms:W3CDTF">2013-08-02T07:56:00Z</dcterms:created>
  <dcterms:modified xsi:type="dcterms:W3CDTF">2013-08-02T08:15:00Z</dcterms:modified>
</cp:coreProperties>
</file>